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E34781"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E34781" w:rsidRDefault="000A03B2" w:rsidP="00DE264A">
            <w:pPr>
              <w:tabs>
                <w:tab w:val="left" w:pos="-108"/>
              </w:tabs>
              <w:ind w:left="-108"/>
              <w:jc w:val="left"/>
              <w:rPr>
                <w:rFonts w:cs="Arial"/>
                <w:b/>
                <w:bCs/>
                <w:i/>
                <w:iCs/>
                <w:color w:val="000066"/>
                <w:sz w:val="12"/>
                <w:szCs w:val="12"/>
                <w:lang w:eastAsia="it-IT"/>
              </w:rPr>
            </w:pPr>
            <w:r w:rsidRPr="00E34781">
              <w:rPr>
                <w:rFonts w:ascii="AdvP6960" w:hAnsi="AdvP6960" w:cs="AdvP6960"/>
                <w:noProof/>
                <w:color w:val="241F20"/>
                <w:szCs w:val="18"/>
                <w:lang w:val="en-U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E34781">
              <w:rPr>
                <w:rFonts w:ascii="AdvP6960" w:hAnsi="AdvP6960" w:cs="AdvP6960"/>
                <w:color w:val="241F20"/>
                <w:szCs w:val="18"/>
                <w:lang w:eastAsia="it-IT"/>
              </w:rPr>
              <w:t xml:space="preserve"> </w:t>
            </w:r>
            <w:r w:rsidRPr="00E34781">
              <w:rPr>
                <w:rFonts w:cs="Arial"/>
                <w:b/>
                <w:bCs/>
                <w:i/>
                <w:iCs/>
                <w:color w:val="000066"/>
                <w:sz w:val="24"/>
                <w:szCs w:val="24"/>
                <w:lang w:eastAsia="it-IT"/>
              </w:rPr>
              <w:t>CHEMICAL ENGINEERING</w:t>
            </w:r>
            <w:r w:rsidRPr="00E34781">
              <w:rPr>
                <w:rFonts w:cs="Arial"/>
                <w:b/>
                <w:bCs/>
                <w:i/>
                <w:iCs/>
                <w:color w:val="0033FF"/>
                <w:sz w:val="24"/>
                <w:szCs w:val="24"/>
                <w:lang w:eastAsia="it-IT"/>
              </w:rPr>
              <w:t xml:space="preserve"> </w:t>
            </w:r>
            <w:r w:rsidRPr="00E34781">
              <w:rPr>
                <w:rFonts w:cs="Arial"/>
                <w:b/>
                <w:bCs/>
                <w:i/>
                <w:iCs/>
                <w:color w:val="666666"/>
                <w:sz w:val="24"/>
                <w:szCs w:val="24"/>
                <w:lang w:eastAsia="it-IT"/>
              </w:rPr>
              <w:t>TRANSACTIONS</w:t>
            </w:r>
            <w:r w:rsidRPr="00E34781">
              <w:rPr>
                <w:color w:val="333333"/>
                <w:sz w:val="24"/>
                <w:szCs w:val="24"/>
                <w:lang w:eastAsia="it-IT"/>
              </w:rPr>
              <w:t xml:space="preserve"> </w:t>
            </w:r>
            <w:r w:rsidRPr="00E34781">
              <w:rPr>
                <w:rFonts w:cs="Arial"/>
                <w:b/>
                <w:bCs/>
                <w:i/>
                <w:iCs/>
                <w:color w:val="000066"/>
                <w:sz w:val="27"/>
                <w:szCs w:val="27"/>
                <w:lang w:eastAsia="it-IT"/>
              </w:rPr>
              <w:br/>
            </w:r>
          </w:p>
          <w:p w14:paraId="4B780582" w14:textId="1EEF6F50" w:rsidR="000A03B2" w:rsidRPr="00E34781" w:rsidRDefault="00A76EFC" w:rsidP="004C3D1D">
            <w:pPr>
              <w:tabs>
                <w:tab w:val="left" w:pos="-108"/>
              </w:tabs>
              <w:ind w:left="-108"/>
              <w:rPr>
                <w:rFonts w:cs="Arial"/>
                <w:b/>
                <w:bCs/>
                <w:i/>
                <w:iCs/>
                <w:color w:val="000066"/>
                <w:sz w:val="22"/>
                <w:szCs w:val="22"/>
                <w:lang w:eastAsia="it-IT"/>
              </w:rPr>
            </w:pPr>
            <w:r w:rsidRPr="00E34781">
              <w:rPr>
                <w:rFonts w:cs="Arial"/>
                <w:b/>
                <w:bCs/>
                <w:i/>
                <w:iCs/>
                <w:color w:val="000066"/>
                <w:sz w:val="22"/>
                <w:szCs w:val="22"/>
                <w:lang w:eastAsia="it-IT"/>
              </w:rPr>
              <w:t xml:space="preserve">VOL. </w:t>
            </w:r>
          </w:p>
        </w:tc>
        <w:tc>
          <w:tcPr>
            <w:tcW w:w="1843" w:type="dxa"/>
            <w:tcBorders>
              <w:left w:val="single" w:sz="4" w:space="0" w:color="auto"/>
              <w:bottom w:val="nil"/>
              <w:right w:val="single" w:sz="4" w:space="0" w:color="auto"/>
            </w:tcBorders>
          </w:tcPr>
          <w:p w14:paraId="56782132" w14:textId="77777777" w:rsidR="000A03B2" w:rsidRPr="00E34781" w:rsidRDefault="000A03B2" w:rsidP="00CD5FE2">
            <w:pPr>
              <w:spacing w:line="140" w:lineRule="atLeast"/>
              <w:jc w:val="right"/>
              <w:rPr>
                <w:rFonts w:cs="Arial"/>
                <w:sz w:val="14"/>
                <w:szCs w:val="14"/>
              </w:rPr>
            </w:pPr>
            <w:r w:rsidRPr="00E34781">
              <w:rPr>
                <w:rFonts w:cs="Arial"/>
                <w:sz w:val="14"/>
                <w:szCs w:val="14"/>
              </w:rPr>
              <w:t>A publication of</w:t>
            </w:r>
          </w:p>
          <w:p w14:paraId="599E5441" w14:textId="77777777" w:rsidR="000A03B2" w:rsidRPr="00E34781" w:rsidRDefault="000A03B2" w:rsidP="00CD5FE2">
            <w:pPr>
              <w:jc w:val="right"/>
            </w:pPr>
            <w:r w:rsidRPr="00E34781">
              <w:rPr>
                <w:noProof/>
                <w:lang w:val="en-U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E34781" w14:paraId="380FA3CD" w14:textId="77777777" w:rsidTr="00DE264A">
        <w:trPr>
          <w:trHeight w:val="567"/>
          <w:jc w:val="center"/>
        </w:trPr>
        <w:tc>
          <w:tcPr>
            <w:tcW w:w="6946" w:type="dxa"/>
            <w:vMerge/>
            <w:tcBorders>
              <w:right w:val="single" w:sz="4" w:space="0" w:color="auto"/>
            </w:tcBorders>
          </w:tcPr>
          <w:p w14:paraId="39E5E4C1" w14:textId="77777777" w:rsidR="000A03B2" w:rsidRPr="00E34781"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E34781" w:rsidRDefault="000A03B2" w:rsidP="00CD5FE2">
            <w:pPr>
              <w:spacing w:line="140" w:lineRule="atLeast"/>
              <w:jc w:val="right"/>
              <w:rPr>
                <w:rFonts w:cs="Arial"/>
                <w:sz w:val="14"/>
                <w:szCs w:val="14"/>
              </w:rPr>
            </w:pPr>
            <w:r w:rsidRPr="00E34781">
              <w:rPr>
                <w:rFonts w:cs="Arial"/>
                <w:sz w:val="14"/>
                <w:szCs w:val="14"/>
              </w:rPr>
              <w:t>The Italian Association</w:t>
            </w:r>
          </w:p>
          <w:p w14:paraId="7522B1D2" w14:textId="77777777" w:rsidR="000A03B2" w:rsidRPr="00E34781" w:rsidRDefault="000A03B2" w:rsidP="00CD5FE2">
            <w:pPr>
              <w:spacing w:line="140" w:lineRule="atLeast"/>
              <w:jc w:val="right"/>
              <w:rPr>
                <w:rFonts w:cs="Arial"/>
                <w:sz w:val="14"/>
                <w:szCs w:val="14"/>
              </w:rPr>
            </w:pPr>
            <w:r w:rsidRPr="00E34781">
              <w:rPr>
                <w:rFonts w:cs="Arial"/>
                <w:sz w:val="14"/>
                <w:szCs w:val="14"/>
              </w:rPr>
              <w:t>of Chemical Engineering</w:t>
            </w:r>
          </w:p>
          <w:p w14:paraId="4F0CC5DE" w14:textId="35204533" w:rsidR="000A03B2" w:rsidRPr="00E34781" w:rsidRDefault="005A3E9C" w:rsidP="00CD5FE2">
            <w:pPr>
              <w:spacing w:line="140" w:lineRule="atLeast"/>
              <w:jc w:val="right"/>
              <w:rPr>
                <w:rFonts w:cs="Arial"/>
                <w:sz w:val="14"/>
                <w:szCs w:val="14"/>
              </w:rPr>
            </w:pPr>
            <w:r w:rsidRPr="00E34781">
              <w:rPr>
                <w:rFonts w:cs="Arial"/>
                <w:sz w:val="13"/>
                <w:szCs w:val="13"/>
              </w:rPr>
              <w:t>Online at www.cetjournal.it</w:t>
            </w:r>
          </w:p>
        </w:tc>
      </w:tr>
      <w:tr w:rsidR="000A03B2" w:rsidRPr="00E34781" w14:paraId="2D1B7169" w14:textId="77777777" w:rsidTr="00DE264A">
        <w:trPr>
          <w:trHeight w:val="68"/>
          <w:jc w:val="center"/>
        </w:trPr>
        <w:tc>
          <w:tcPr>
            <w:tcW w:w="8789" w:type="dxa"/>
            <w:gridSpan w:val="2"/>
          </w:tcPr>
          <w:p w14:paraId="4B0BB442" w14:textId="7D24D70F" w:rsidR="00300E56" w:rsidRPr="00E34781" w:rsidRDefault="00300E56" w:rsidP="00EC0E49">
            <w:pPr>
              <w:tabs>
                <w:tab w:val="left" w:pos="-108"/>
              </w:tabs>
              <w:spacing w:line="140" w:lineRule="atLeast"/>
              <w:ind w:left="-108"/>
              <w:jc w:val="left"/>
              <w:rPr>
                <w:rFonts w:ascii="Tahoma" w:hAnsi="Tahoma" w:cs="Tahoma"/>
                <w:iCs/>
                <w:color w:val="333333"/>
                <w:sz w:val="14"/>
                <w:szCs w:val="14"/>
                <w:lang w:val="en-US" w:eastAsia="it-IT"/>
              </w:rPr>
            </w:pPr>
            <w:r w:rsidRPr="00E34781">
              <w:rPr>
                <w:rFonts w:ascii="Tahoma" w:hAnsi="Tahoma" w:cs="Tahoma"/>
                <w:iCs/>
                <w:color w:val="333333"/>
                <w:sz w:val="14"/>
                <w:szCs w:val="14"/>
                <w:lang w:val="en-US" w:eastAsia="it-IT"/>
              </w:rPr>
              <w:t>Guest Editors:</w:t>
            </w:r>
            <w:r w:rsidR="00904C62" w:rsidRPr="00E34781">
              <w:rPr>
                <w:rFonts w:ascii="Tahoma" w:hAnsi="Tahoma" w:cs="Tahoma"/>
                <w:iCs/>
                <w:color w:val="333333"/>
                <w:sz w:val="14"/>
                <w:szCs w:val="14"/>
                <w:lang w:val="en-US" w:eastAsia="it-IT"/>
              </w:rPr>
              <w:t xml:space="preserve"> </w:t>
            </w:r>
          </w:p>
          <w:p w14:paraId="1B0F1814" w14:textId="6CE52C7C" w:rsidR="000A03B2" w:rsidRPr="00E34781" w:rsidRDefault="0014464F" w:rsidP="00180860">
            <w:pPr>
              <w:tabs>
                <w:tab w:val="left" w:pos="-108"/>
              </w:tabs>
              <w:spacing w:line="140" w:lineRule="atLeast"/>
              <w:ind w:left="-108"/>
              <w:jc w:val="left"/>
            </w:pPr>
            <w:r w:rsidRPr="00E34781">
              <w:rPr>
                <w:rFonts w:ascii="Tahoma" w:hAnsi="Tahoma" w:cs="Tahoma"/>
                <w:iCs/>
                <w:color w:val="333333"/>
                <w:sz w:val="14"/>
                <w:szCs w:val="14"/>
                <w:lang w:eastAsia="it-IT"/>
              </w:rPr>
              <w:t xml:space="preserve">Copyright © </w:t>
            </w:r>
            <w:r w:rsidR="00904C62" w:rsidRPr="00E34781">
              <w:rPr>
                <w:rFonts w:ascii="Tahoma" w:hAnsi="Tahoma" w:cs="Tahoma"/>
                <w:iCs/>
                <w:color w:val="333333"/>
                <w:sz w:val="14"/>
                <w:szCs w:val="14"/>
                <w:lang w:eastAsia="it-IT"/>
              </w:rPr>
              <w:t xml:space="preserve"> AIDIC </w:t>
            </w:r>
            <w:proofErr w:type="spellStart"/>
            <w:r w:rsidR="00904C62" w:rsidRPr="00E34781">
              <w:rPr>
                <w:rFonts w:ascii="Tahoma" w:hAnsi="Tahoma" w:cs="Tahoma"/>
                <w:iCs/>
                <w:color w:val="333333"/>
                <w:sz w:val="14"/>
                <w:szCs w:val="14"/>
                <w:lang w:eastAsia="it-IT"/>
              </w:rPr>
              <w:t>Servizi</w:t>
            </w:r>
            <w:proofErr w:type="spellEnd"/>
            <w:r w:rsidR="00904C62" w:rsidRPr="00E34781">
              <w:rPr>
                <w:rFonts w:ascii="Tahoma" w:hAnsi="Tahoma" w:cs="Tahoma"/>
                <w:iCs/>
                <w:color w:val="333333"/>
                <w:sz w:val="14"/>
                <w:szCs w:val="14"/>
                <w:lang w:eastAsia="it-IT"/>
              </w:rPr>
              <w:t xml:space="preserve"> </w:t>
            </w:r>
            <w:proofErr w:type="spellStart"/>
            <w:r w:rsidR="00904C62" w:rsidRPr="00E34781">
              <w:rPr>
                <w:rFonts w:ascii="Tahoma" w:hAnsi="Tahoma" w:cs="Tahoma"/>
                <w:iCs/>
                <w:color w:val="333333"/>
                <w:sz w:val="14"/>
                <w:szCs w:val="14"/>
                <w:lang w:eastAsia="it-IT"/>
              </w:rPr>
              <w:t>S.r.l</w:t>
            </w:r>
            <w:proofErr w:type="spellEnd"/>
            <w:r w:rsidR="00904C62" w:rsidRPr="00E34781">
              <w:rPr>
                <w:rFonts w:ascii="Tahoma" w:hAnsi="Tahoma" w:cs="Tahoma"/>
                <w:iCs/>
                <w:color w:val="333333"/>
                <w:sz w:val="14"/>
                <w:szCs w:val="14"/>
                <w:lang w:eastAsia="it-IT"/>
              </w:rPr>
              <w:t>.</w:t>
            </w:r>
            <w:r w:rsidR="00300E56" w:rsidRPr="00E34781">
              <w:rPr>
                <w:rFonts w:ascii="Tahoma" w:hAnsi="Tahoma" w:cs="Tahoma"/>
                <w:iCs/>
                <w:color w:val="333333"/>
                <w:sz w:val="14"/>
                <w:szCs w:val="14"/>
                <w:lang w:eastAsia="it-IT"/>
              </w:rPr>
              <w:br/>
            </w:r>
            <w:r w:rsidR="00180860" w:rsidRPr="00E34781">
              <w:rPr>
                <w:rFonts w:ascii="Tahoma" w:hAnsi="Tahoma" w:cs="Tahoma"/>
                <w:b/>
                <w:iCs/>
                <w:color w:val="333333"/>
                <w:sz w:val="14"/>
                <w:szCs w:val="14"/>
                <w:lang w:eastAsia="it-IT"/>
              </w:rPr>
              <w:t xml:space="preserve">ISBN </w:t>
            </w:r>
            <w:r w:rsidR="00180860" w:rsidRPr="00E34781">
              <w:rPr>
                <w:rFonts w:ascii="Tahoma" w:hAnsi="Tahoma" w:cs="Tahoma"/>
                <w:sz w:val="14"/>
                <w:szCs w:val="14"/>
                <w:lang w:val="en-US"/>
              </w:rPr>
              <w:t xml:space="preserve">978-88-95608-xx-x </w:t>
            </w:r>
            <w:r w:rsidR="00300E56" w:rsidRPr="00E34781">
              <w:rPr>
                <w:rFonts w:ascii="Tahoma" w:hAnsi="Tahoma" w:cs="Tahoma"/>
                <w:b/>
                <w:iCs/>
                <w:color w:val="333333"/>
                <w:sz w:val="14"/>
                <w:szCs w:val="14"/>
                <w:lang w:eastAsia="it-IT"/>
              </w:rPr>
              <w:t>ISSN</w:t>
            </w:r>
            <w:r w:rsidR="00300E56" w:rsidRPr="00E34781">
              <w:rPr>
                <w:rFonts w:ascii="Tahoma" w:hAnsi="Tahoma" w:cs="Tahoma"/>
                <w:iCs/>
                <w:color w:val="333333"/>
                <w:sz w:val="14"/>
                <w:szCs w:val="14"/>
                <w:lang w:eastAsia="it-IT"/>
              </w:rPr>
              <w:t xml:space="preserve"> 2283-9216</w:t>
            </w:r>
          </w:p>
        </w:tc>
      </w:tr>
    </w:tbl>
    <w:p w14:paraId="10DAA130" w14:textId="77777777" w:rsidR="000A03B2" w:rsidRPr="00E34781" w:rsidRDefault="000A03B2" w:rsidP="000A03B2">
      <w:pPr>
        <w:pStyle w:val="CETAuthors"/>
        <w:sectPr w:rsidR="000A03B2" w:rsidRPr="00E34781" w:rsidSect="00CD5FE2">
          <w:type w:val="continuous"/>
          <w:pgSz w:w="11906" w:h="16838" w:code="9"/>
          <w:pgMar w:top="1701" w:right="1418" w:bottom="1701" w:left="1701" w:header="1701" w:footer="0" w:gutter="0"/>
          <w:cols w:space="708"/>
          <w:titlePg/>
          <w:docGrid w:linePitch="360"/>
        </w:sectPr>
      </w:pPr>
    </w:p>
    <w:p w14:paraId="2E667253" w14:textId="0B4D89C5" w:rsidR="00E978D0" w:rsidRPr="00E34781" w:rsidRDefault="00120FB1" w:rsidP="00120FB1">
      <w:pPr>
        <w:pStyle w:val="CETTitle"/>
      </w:pPr>
      <w:r w:rsidRPr="00E34781">
        <w:t>Linking barrier indicators to major accident scenarios, a first step to predict major accident scenarios</w:t>
      </w:r>
    </w:p>
    <w:p w14:paraId="4F28EB24" w14:textId="37760EF7" w:rsidR="00120FB1" w:rsidRPr="00E34781" w:rsidRDefault="00120FB1" w:rsidP="00120FB1">
      <w:pPr>
        <w:pStyle w:val="CETAuthors"/>
        <w:rPr>
          <w:lang w:val="nl-NL"/>
        </w:rPr>
      </w:pPr>
      <w:r w:rsidRPr="00E34781">
        <w:rPr>
          <w:lang w:val="nl-NL"/>
        </w:rPr>
        <w:t>Peter Schmitz</w:t>
      </w:r>
      <w:r w:rsidR="008F0178" w:rsidRPr="00E34781">
        <w:rPr>
          <w:vertAlign w:val="superscript"/>
          <w:lang w:val="nl-NL"/>
        </w:rPr>
        <w:t>a</w:t>
      </w:r>
      <w:r w:rsidRPr="00E34781">
        <w:rPr>
          <w:lang w:val="nl-NL"/>
        </w:rPr>
        <w:t xml:space="preserve">, </w:t>
      </w:r>
      <w:r w:rsidR="008F0178" w:rsidRPr="00E34781">
        <w:rPr>
          <w:lang w:val="nl-NL"/>
        </w:rPr>
        <w:t>Paul Swuste</w:t>
      </w:r>
      <w:r w:rsidR="008F0178" w:rsidRPr="00E34781">
        <w:rPr>
          <w:vertAlign w:val="superscript"/>
          <w:lang w:val="nl-NL"/>
        </w:rPr>
        <w:t>b,*</w:t>
      </w:r>
      <w:r w:rsidR="008F0178" w:rsidRPr="00E34781">
        <w:rPr>
          <w:lang w:val="nl-NL"/>
        </w:rPr>
        <w:t xml:space="preserve">, </w:t>
      </w:r>
      <w:r w:rsidRPr="00E34781">
        <w:rPr>
          <w:lang w:val="nl-NL"/>
        </w:rPr>
        <w:t>Genserik Reniers</w:t>
      </w:r>
      <w:r w:rsidR="008F0178" w:rsidRPr="00E34781">
        <w:rPr>
          <w:vertAlign w:val="superscript"/>
          <w:lang w:val="nl-NL"/>
        </w:rPr>
        <w:t>b</w:t>
      </w:r>
      <w:r w:rsidRPr="00E34781">
        <w:rPr>
          <w:lang w:val="nl-NL"/>
        </w:rPr>
        <w:t>, Karolien van Nunen</w:t>
      </w:r>
      <w:r w:rsidR="008F0178" w:rsidRPr="00E34781">
        <w:rPr>
          <w:vertAlign w:val="superscript"/>
          <w:lang w:val="nl-NL"/>
        </w:rPr>
        <w:t>b</w:t>
      </w:r>
      <w:r w:rsidRPr="00E34781">
        <w:rPr>
          <w:vertAlign w:val="superscript"/>
          <w:lang w:val="nl-NL"/>
        </w:rPr>
        <w:t>,c</w:t>
      </w:r>
    </w:p>
    <w:p w14:paraId="4CCA6D6F" w14:textId="77777777" w:rsidR="008F0178" w:rsidRPr="00E34781" w:rsidRDefault="008F0178" w:rsidP="008F0178">
      <w:pPr>
        <w:pStyle w:val="CETAddress"/>
        <w:rPr>
          <w:lang w:val="nl-NL"/>
        </w:rPr>
      </w:pPr>
      <w:r w:rsidRPr="00E34781">
        <w:rPr>
          <w:vertAlign w:val="superscript"/>
          <w:lang w:val="nl-NL"/>
        </w:rPr>
        <w:t>a</w:t>
      </w:r>
      <w:r w:rsidRPr="00E34781">
        <w:rPr>
          <w:lang w:val="nl-NL"/>
        </w:rPr>
        <w:t>OCI-Nitrogen, Urmonderbaan 22, 6167 RD, Geleen, the Netherlands</w:t>
      </w:r>
    </w:p>
    <w:p w14:paraId="38D29194" w14:textId="57BDAE9D" w:rsidR="00E978D0" w:rsidRPr="00E34781" w:rsidRDefault="008F0178" w:rsidP="00E978D0">
      <w:pPr>
        <w:pStyle w:val="CETAddress"/>
      </w:pPr>
      <w:r w:rsidRPr="00E34781">
        <w:rPr>
          <w:vertAlign w:val="superscript"/>
        </w:rPr>
        <w:t>b</w:t>
      </w:r>
      <w:r w:rsidR="00120FB1" w:rsidRPr="00E34781">
        <w:t>Safety and Security Science Group, Technical University of Delft, Jaffalaan 5, 2628 BX Delft, The Netherlands</w:t>
      </w:r>
    </w:p>
    <w:p w14:paraId="0127A28D" w14:textId="40C86AEA" w:rsidR="00E978D0" w:rsidRPr="00E34781" w:rsidRDefault="00120FB1" w:rsidP="008F0178">
      <w:pPr>
        <w:pStyle w:val="CETAddress"/>
      </w:pPr>
      <w:r w:rsidRPr="00E34781">
        <w:rPr>
          <w:vertAlign w:val="superscript"/>
        </w:rPr>
        <w:t>c</w:t>
      </w:r>
      <w:r w:rsidR="008F0178" w:rsidRPr="00E34781">
        <w:t>Research Chair Vandeputte, University of Antwerp, 2000 Antwerp, Belgium</w:t>
      </w:r>
    </w:p>
    <w:p w14:paraId="63BA67FA" w14:textId="00CD05ED" w:rsidR="00E34781" w:rsidRPr="00E34781" w:rsidRDefault="00E34781" w:rsidP="008F0178">
      <w:pPr>
        <w:pStyle w:val="CETAddress"/>
      </w:pPr>
      <w:r w:rsidRPr="00E34781">
        <w:t>*p</w:t>
      </w:r>
      <w:r w:rsidR="000368C3">
        <w:t>aul@pauswuste.nl</w:t>
      </w:r>
    </w:p>
    <w:p w14:paraId="04B319EE" w14:textId="49FD7BC7" w:rsidR="00600535" w:rsidRPr="00E34781" w:rsidRDefault="00600535" w:rsidP="00600535">
      <w:pPr>
        <w:pStyle w:val="CETBodytext"/>
        <w:rPr>
          <w:lang w:val="en-GB"/>
        </w:rPr>
      </w:pPr>
      <w:bookmarkStart w:id="0" w:name="_Hlk495475023"/>
    </w:p>
    <w:p w14:paraId="65F66539" w14:textId="0E548E51" w:rsidR="00600535" w:rsidRPr="00E34781" w:rsidRDefault="008F0178" w:rsidP="008F0178">
      <w:pPr>
        <w:pStyle w:val="CETnumberingbullets"/>
        <w:numPr>
          <w:ilvl w:val="0"/>
          <w:numId w:val="0"/>
        </w:numPr>
        <w:ind w:left="113"/>
        <w:rPr>
          <w:bCs/>
        </w:rPr>
      </w:pPr>
      <w:r w:rsidRPr="00E34781">
        <w:rPr>
          <w:bCs/>
        </w:rPr>
        <w:t xml:space="preserve">At the OCI Nitrogen ammonia plant, located at the Chemelot site in Geleen, The Netherlands, a project has been initiated to monitor major accident processes at the site. This contribution answers the question whether indicators can be derived from the barrier system status to provide information about the development and likelihood of the major accident processes in the ammonia production process. The accident processes are visualized as scenarios in bowties. This research focuses on the status of the preventive barriers on the so called ‘left-hand side’ of the bowtie, before a hazard becomes uncontrollable. Both the quality – expressed in reliability/availability and effectiveness – and the activation of the barrier system give an indication of the development of the accident scenarios and the likelihood of the central event. This likelihood is calculated as a loss of risk reduction compared to the original design. The calculation </w:t>
      </w:r>
      <w:r w:rsidR="009C7DF7">
        <w:rPr>
          <w:bCs/>
        </w:rPr>
        <w:t xml:space="preserve">gives </w:t>
      </w:r>
      <w:r w:rsidRPr="00E34781">
        <w:rPr>
          <w:bCs/>
        </w:rPr>
        <w:t>in an indicator called “preventive barrier indicator”, which should initiate further action. Based on an example, it is demonstrated which actions should be taken and their urgency.</w:t>
      </w:r>
    </w:p>
    <w:p w14:paraId="0947D158" w14:textId="77777777" w:rsidR="00E34781" w:rsidRPr="00E34781" w:rsidRDefault="00E34781" w:rsidP="00E34781">
      <w:pPr>
        <w:pStyle w:val="Kop2"/>
        <w:spacing w:before="240" w:after="120"/>
        <w:rPr>
          <w:rFonts w:ascii="Arial" w:hAnsi="Arial" w:cs="Arial"/>
          <w:b w:val="0"/>
          <w:bCs w:val="0"/>
          <w:color w:val="auto"/>
          <w:sz w:val="18"/>
          <w:szCs w:val="18"/>
        </w:rPr>
      </w:pPr>
      <w:bookmarkStart w:id="1" w:name="_Toc83582605"/>
      <w:r w:rsidRPr="00E34781">
        <w:rPr>
          <w:rFonts w:ascii="Arial" w:hAnsi="Arial" w:cs="Arial"/>
          <w:color w:val="auto"/>
          <w:sz w:val="18"/>
          <w:szCs w:val="18"/>
        </w:rPr>
        <w:t>1 Introduction</w:t>
      </w:r>
      <w:bookmarkEnd w:id="1"/>
    </w:p>
    <w:p w14:paraId="2336C701" w14:textId="6B7CD822" w:rsidR="00E34781" w:rsidRPr="00E34781" w:rsidRDefault="00E34781" w:rsidP="00E34781">
      <w:pPr>
        <w:rPr>
          <w:rFonts w:cs="Arial"/>
          <w:szCs w:val="18"/>
        </w:rPr>
      </w:pPr>
      <w:r w:rsidRPr="00E34781">
        <w:rPr>
          <w:rFonts w:cs="Arial"/>
          <w:szCs w:val="18"/>
        </w:rPr>
        <w:t xml:space="preserve">Identifying process safety indicators of the ammonia production process and providing information on major accident processes is a challenge. The starting point is the ranking of the most dangerous process parts (Schmitz et al., 2020). Completed with major accident scenarios of ammonia plants internationally, a selection of most likely, hazardous scenarios </w:t>
      </w:r>
      <w:r w:rsidR="00060259">
        <w:rPr>
          <w:rFonts w:cs="Arial"/>
          <w:szCs w:val="18"/>
        </w:rPr>
        <w:t>has been determined</w:t>
      </w:r>
      <w:r w:rsidRPr="00E34781">
        <w:rPr>
          <w:rFonts w:cs="Arial"/>
          <w:szCs w:val="18"/>
        </w:rPr>
        <w:t xml:space="preserve">. This study describes the results concerning indicators to recognise and stop the development of these </w:t>
      </w:r>
      <w:r w:rsidR="006B79F8">
        <w:rPr>
          <w:rFonts w:cs="Arial"/>
          <w:szCs w:val="18"/>
        </w:rPr>
        <w:t xml:space="preserve">“worst credible” </w:t>
      </w:r>
      <w:r w:rsidRPr="00E34781">
        <w:rPr>
          <w:rFonts w:cs="Arial"/>
          <w:szCs w:val="18"/>
        </w:rPr>
        <w:t xml:space="preserve">scenarios at an early stage. The research question is: </w:t>
      </w:r>
    </w:p>
    <w:p w14:paraId="077D4762" w14:textId="77777777" w:rsidR="00E34781" w:rsidRPr="00E34781" w:rsidRDefault="00E34781" w:rsidP="00E34781">
      <w:pPr>
        <w:rPr>
          <w:rFonts w:cs="Arial"/>
          <w:szCs w:val="18"/>
        </w:rPr>
      </w:pPr>
    </w:p>
    <w:p w14:paraId="6C284228" w14:textId="77777777" w:rsidR="00E34781" w:rsidRPr="00E34781" w:rsidRDefault="00E34781" w:rsidP="00E34781">
      <w:pPr>
        <w:ind w:left="708"/>
        <w:rPr>
          <w:rFonts w:cs="Arial"/>
          <w:i/>
          <w:iCs/>
          <w:szCs w:val="18"/>
        </w:rPr>
      </w:pPr>
      <w:r w:rsidRPr="00E34781">
        <w:rPr>
          <w:rFonts w:cs="Arial"/>
          <w:i/>
          <w:iCs/>
          <w:szCs w:val="18"/>
        </w:rPr>
        <w:t xml:space="preserve">Can indicators be derived – based on the status of the barrier system – that provide information on the development and likelihood of major accident processes in the ammonia production process? </w:t>
      </w:r>
    </w:p>
    <w:p w14:paraId="5F7EE447" w14:textId="77777777" w:rsidR="00E34781" w:rsidRPr="00E34781" w:rsidRDefault="00E34781" w:rsidP="00E34781">
      <w:pPr>
        <w:rPr>
          <w:rFonts w:cs="Arial"/>
          <w:i/>
          <w:iCs/>
          <w:szCs w:val="18"/>
        </w:rPr>
      </w:pPr>
    </w:p>
    <w:p w14:paraId="2208596D" w14:textId="37C1EAD9" w:rsidR="00E34781" w:rsidRPr="00E34781" w:rsidRDefault="00E34781" w:rsidP="00E34781">
      <w:pPr>
        <w:rPr>
          <w:rFonts w:cs="Arial"/>
          <w:szCs w:val="18"/>
        </w:rPr>
      </w:pPr>
      <w:r w:rsidRPr="00E34781">
        <w:rPr>
          <w:rFonts w:cs="Arial"/>
          <w:szCs w:val="18"/>
        </w:rPr>
        <w:t>There is little empirical research published on process safety indicators, but many (</w:t>
      </w:r>
      <w:proofErr w:type="spellStart"/>
      <w:r w:rsidRPr="00E34781">
        <w:rPr>
          <w:rFonts w:cs="Arial"/>
          <w:szCs w:val="18"/>
        </w:rPr>
        <w:t>petro</w:t>
      </w:r>
      <w:proofErr w:type="spellEnd"/>
      <w:r w:rsidRPr="00E34781">
        <w:rPr>
          <w:rFonts w:cs="Arial"/>
          <w:szCs w:val="18"/>
        </w:rPr>
        <w:t>)chemical companies measure their process safety performance. Often, a distinction is made between 'leading' and 'lagging' indicators. Where the former are proxies to hazards, barriers, scenarios and management factors, the latter provide information on the loss of containment or loss of control event</w:t>
      </w:r>
      <w:r w:rsidR="00DC3628">
        <w:rPr>
          <w:rFonts w:cs="Arial"/>
          <w:szCs w:val="18"/>
        </w:rPr>
        <w:t>s</w:t>
      </w:r>
      <w:r w:rsidRPr="00E34781">
        <w:rPr>
          <w:rFonts w:cs="Arial"/>
          <w:szCs w:val="18"/>
        </w:rPr>
        <w:t xml:space="preserve"> and </w:t>
      </w:r>
      <w:r w:rsidR="00DC3628">
        <w:rPr>
          <w:rFonts w:cs="Arial"/>
          <w:szCs w:val="18"/>
        </w:rPr>
        <w:t>their</w:t>
      </w:r>
      <w:r w:rsidRPr="00E34781">
        <w:rPr>
          <w:rFonts w:cs="Arial"/>
          <w:szCs w:val="18"/>
        </w:rPr>
        <w:t xml:space="preserve"> consequences. The scientific literature questions this distinction (Swuste et al., 2016, 2019).</w:t>
      </w:r>
    </w:p>
    <w:p w14:paraId="355B7813" w14:textId="77777777" w:rsidR="00E34781" w:rsidRPr="00E34781" w:rsidRDefault="00E34781" w:rsidP="00E34781">
      <w:pPr>
        <w:pStyle w:val="Kop2"/>
        <w:spacing w:before="240" w:after="120"/>
        <w:rPr>
          <w:rFonts w:ascii="Arial" w:hAnsi="Arial" w:cs="Arial"/>
          <w:b w:val="0"/>
          <w:bCs w:val="0"/>
          <w:color w:val="auto"/>
          <w:sz w:val="18"/>
          <w:szCs w:val="18"/>
        </w:rPr>
      </w:pPr>
      <w:bookmarkStart w:id="2" w:name="_Toc83582608"/>
      <w:r w:rsidRPr="00E34781">
        <w:rPr>
          <w:rFonts w:ascii="Arial" w:hAnsi="Arial" w:cs="Arial"/>
          <w:color w:val="auto"/>
          <w:sz w:val="18"/>
          <w:szCs w:val="18"/>
        </w:rPr>
        <w:t>2 Materials and methods</w:t>
      </w:r>
      <w:bookmarkEnd w:id="2"/>
    </w:p>
    <w:p w14:paraId="46D7082C" w14:textId="0554A2E7" w:rsidR="00E34781" w:rsidRPr="00E34781" w:rsidRDefault="00E34781" w:rsidP="00E34781">
      <w:pPr>
        <w:rPr>
          <w:rFonts w:cs="Arial"/>
          <w:szCs w:val="18"/>
        </w:rPr>
      </w:pPr>
      <w:r w:rsidRPr="00E34781">
        <w:rPr>
          <w:rFonts w:cs="Arial"/>
          <w:szCs w:val="18"/>
        </w:rPr>
        <w:t>The bowtie model of accident processes is used in this study, starting with one or more hazards at its left side (Visser, 1998). A hazard represents an energy, e.g.</w:t>
      </w:r>
      <w:r w:rsidR="00260860">
        <w:rPr>
          <w:rFonts w:cs="Arial"/>
          <w:szCs w:val="18"/>
        </w:rPr>
        <w:t xml:space="preserve"> </w:t>
      </w:r>
      <w:r w:rsidRPr="00E34781">
        <w:rPr>
          <w:rFonts w:cs="Arial"/>
          <w:szCs w:val="18"/>
        </w:rPr>
        <w:t xml:space="preserve">a chemical substance, or an overpressure (Figure 1). Arrows represent different scenarios </w:t>
      </w:r>
      <w:r w:rsidR="009C7DF7">
        <w:rPr>
          <w:rFonts w:cs="Arial"/>
          <w:szCs w:val="18"/>
        </w:rPr>
        <w:t xml:space="preserve">which </w:t>
      </w:r>
      <w:r w:rsidRPr="00E34781">
        <w:rPr>
          <w:rFonts w:cs="Arial"/>
          <w:szCs w:val="18"/>
        </w:rPr>
        <w:t xml:space="preserve">will lead to a so-called central event, a situation where a hazard becomes uncontrollable. Barriers placed in the scenario pathways can prevent a central event from happening. Barriers are generally classified in physical and non-physical barriers, and are usually made up of three elements: a </w:t>
      </w:r>
      <w:r w:rsidRPr="00E34781">
        <w:rPr>
          <w:rFonts w:cs="Arial"/>
          <w:szCs w:val="18"/>
        </w:rPr>
        <w:lastRenderedPageBreak/>
        <w:t>sensor, a decision maker and a final element or action taker (Guldenmund et al., 2006). A barrier only works if all three elements are functioning, and can be regarded as a 3-out of-3 system.</w:t>
      </w:r>
    </w:p>
    <w:p w14:paraId="37A3F8DA" w14:textId="77777777" w:rsidR="00E34781" w:rsidRPr="00E34781" w:rsidRDefault="00E34781" w:rsidP="00E34781">
      <w:pPr>
        <w:rPr>
          <w:rFonts w:cs="Arial"/>
          <w:szCs w:val="18"/>
        </w:rPr>
      </w:pPr>
    </w:p>
    <w:p w14:paraId="288EA055" w14:textId="77777777" w:rsidR="00E34781" w:rsidRPr="00E34781" w:rsidRDefault="00E34781" w:rsidP="00E34781">
      <w:pPr>
        <w:jc w:val="center"/>
        <w:rPr>
          <w:rFonts w:cs="Arial"/>
          <w:szCs w:val="18"/>
        </w:rPr>
      </w:pPr>
      <w:r w:rsidRPr="00E34781">
        <w:rPr>
          <w:noProof/>
        </w:rPr>
        <w:drawing>
          <wp:inline distT="0" distB="0" distL="0" distR="0" wp14:anchorId="03B3FEB8" wp14:editId="1E2820F5">
            <wp:extent cx="3193472" cy="1585743"/>
            <wp:effectExtent l="0" t="0" r="698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3795"/>
                    <a:stretch/>
                  </pic:blipFill>
                  <pic:spPr bwMode="auto">
                    <a:xfrm>
                      <a:off x="0" y="0"/>
                      <a:ext cx="3302640" cy="1639951"/>
                    </a:xfrm>
                    <a:prstGeom prst="rect">
                      <a:avLst/>
                    </a:prstGeom>
                    <a:noFill/>
                    <a:ln>
                      <a:noFill/>
                    </a:ln>
                    <a:extLst>
                      <a:ext uri="{53640926-AAD7-44D8-BBD7-CCE9431645EC}">
                        <a14:shadowObscured xmlns:a14="http://schemas.microsoft.com/office/drawing/2010/main"/>
                      </a:ext>
                    </a:extLst>
                  </pic:spPr>
                </pic:pic>
              </a:graphicData>
            </a:graphic>
          </wp:inline>
        </w:drawing>
      </w:r>
    </w:p>
    <w:p w14:paraId="02A9AE41" w14:textId="77777777" w:rsidR="00E34781" w:rsidRPr="00E34781" w:rsidRDefault="00E34781" w:rsidP="00E34781">
      <w:pPr>
        <w:spacing w:before="240" w:after="240"/>
        <w:jc w:val="center"/>
        <w:rPr>
          <w:rFonts w:cs="Arial"/>
          <w:i/>
          <w:iCs/>
          <w:szCs w:val="18"/>
        </w:rPr>
      </w:pPr>
      <w:r w:rsidRPr="00E34781">
        <w:rPr>
          <w:rFonts w:cs="Arial"/>
          <w:i/>
          <w:iCs/>
          <w:szCs w:val="18"/>
        </w:rPr>
        <w:t>Figure 1: The bow-tie model (Visser, 1998)</w:t>
      </w:r>
    </w:p>
    <w:p w14:paraId="3F363D49" w14:textId="0473359B" w:rsidR="00E34781" w:rsidRPr="00E34781" w:rsidRDefault="00E34781" w:rsidP="00E34781">
      <w:pPr>
        <w:rPr>
          <w:rFonts w:cs="Arial"/>
          <w:szCs w:val="18"/>
        </w:rPr>
      </w:pPr>
      <w:r w:rsidRPr="00E34781">
        <w:rPr>
          <w:rFonts w:cs="Arial"/>
          <w:szCs w:val="18"/>
        </w:rPr>
        <w:t xml:space="preserve">The quality of a barrier is determined by various </w:t>
      </w:r>
      <w:r w:rsidR="0048346A">
        <w:rPr>
          <w:rFonts w:cs="Arial"/>
          <w:szCs w:val="18"/>
        </w:rPr>
        <w:t>parameters</w:t>
      </w:r>
      <w:r w:rsidR="00B54BC6">
        <w:rPr>
          <w:rFonts w:cs="Arial"/>
          <w:szCs w:val="18"/>
        </w:rPr>
        <w:t>, including</w:t>
      </w:r>
      <w:r w:rsidRPr="00E34781">
        <w:rPr>
          <w:rFonts w:cs="Arial"/>
          <w:szCs w:val="18"/>
        </w:rPr>
        <w:t xml:space="preserve">: 1/ trustworthiness (effectiveness: functionality, reliability: performing its function, availability: functioning at any point in time), 2/ costs to keep the barrier functional, reliable and available, 3/ robustness: continue to function during incidents, </w:t>
      </w:r>
      <w:r w:rsidR="009C7DF7">
        <w:rPr>
          <w:rFonts w:cs="Arial"/>
          <w:szCs w:val="18"/>
        </w:rPr>
        <w:t>4</w:t>
      </w:r>
      <w:r w:rsidRPr="00E34781">
        <w:rPr>
          <w:rFonts w:cs="Arial"/>
          <w:szCs w:val="18"/>
        </w:rPr>
        <w:t xml:space="preserve">/ response time: the time from activation to the execution of the intended function, and </w:t>
      </w:r>
      <w:r w:rsidR="009C7DF7">
        <w:rPr>
          <w:rFonts w:cs="Arial"/>
          <w:szCs w:val="18"/>
        </w:rPr>
        <w:t>5</w:t>
      </w:r>
      <w:r w:rsidRPr="00E34781">
        <w:rPr>
          <w:rFonts w:cs="Arial"/>
          <w:szCs w:val="18"/>
        </w:rPr>
        <w:t xml:space="preserve">/ ‘’trigger": the event or condition that activates the barrier. To measure the likelihood of a scenario to develop into a central event, the decline in quality of the barriers must be monitored. The quality parameter trustworthiness </w:t>
      </w:r>
      <w:r w:rsidR="001D3861">
        <w:rPr>
          <w:rFonts w:cs="Arial"/>
          <w:szCs w:val="18"/>
        </w:rPr>
        <w:t xml:space="preserve">is regarded </w:t>
      </w:r>
      <w:r w:rsidR="009C7DF7">
        <w:rPr>
          <w:rFonts w:cs="Arial"/>
          <w:szCs w:val="18"/>
        </w:rPr>
        <w:t xml:space="preserve">as </w:t>
      </w:r>
      <w:r w:rsidR="001D3861">
        <w:rPr>
          <w:rFonts w:cs="Arial"/>
          <w:szCs w:val="18"/>
        </w:rPr>
        <w:t xml:space="preserve">the only one that </w:t>
      </w:r>
      <w:r w:rsidRPr="00E34781">
        <w:rPr>
          <w:rFonts w:cs="Arial"/>
          <w:szCs w:val="18"/>
        </w:rPr>
        <w:t xml:space="preserve">will vary sufficiently over time and can present the possible deterioration in quality of a barrier. </w:t>
      </w:r>
    </w:p>
    <w:p w14:paraId="1ED9EAAB" w14:textId="77777777" w:rsidR="00E34781" w:rsidRPr="00E34781" w:rsidRDefault="00E34781" w:rsidP="00E34781">
      <w:pPr>
        <w:rPr>
          <w:rFonts w:cs="Arial"/>
          <w:szCs w:val="18"/>
        </w:rPr>
      </w:pPr>
    </w:p>
    <w:p w14:paraId="290C7119" w14:textId="77777777" w:rsidR="00E34781" w:rsidRPr="00E34781" w:rsidRDefault="00E34781" w:rsidP="00E34781">
      <w:pPr>
        <w:rPr>
          <w:rFonts w:cs="Arial"/>
          <w:szCs w:val="18"/>
        </w:rPr>
      </w:pPr>
      <w:r w:rsidRPr="00E34781">
        <w:rPr>
          <w:rFonts w:cs="Arial"/>
          <w:szCs w:val="18"/>
        </w:rPr>
        <w:t>Preventive and corrective maintenance, inspection and test programs, and management and administrative aspects influence the trustworthiness of technical barrier systems. Sometimes a barrier is deliberately inactivated, or overridden, for example, for performing maintenance, an inspection or a test. So the status of a barriers may differ as Table 1 shows, including related symbols, used as abbreviations in this paper.</w:t>
      </w:r>
    </w:p>
    <w:p w14:paraId="5D5B90CA" w14:textId="77777777" w:rsidR="00E34781" w:rsidRPr="00E34781" w:rsidRDefault="00E34781" w:rsidP="00E34781">
      <w:pPr>
        <w:spacing w:before="240" w:after="80" w:line="240" w:lineRule="exact"/>
        <w:rPr>
          <w:rFonts w:cs="Arial"/>
          <w:i/>
          <w:iCs/>
          <w:szCs w:val="18"/>
        </w:rPr>
      </w:pPr>
      <w:r w:rsidRPr="00E34781">
        <w:rPr>
          <w:rFonts w:cs="Arial"/>
          <w:i/>
          <w:iCs/>
          <w:szCs w:val="18"/>
        </w:rPr>
        <w:t>Table 1: Possible barrier statuses and associated symbols</w:t>
      </w:r>
    </w:p>
    <w:tbl>
      <w:tblPr>
        <w:tblW w:w="8931"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2977"/>
        <w:gridCol w:w="3827"/>
        <w:gridCol w:w="2127"/>
      </w:tblGrid>
      <w:tr w:rsidR="00E34781" w:rsidRPr="00E34781" w14:paraId="3E3B7A50" w14:textId="77777777" w:rsidTr="00420C5B">
        <w:tc>
          <w:tcPr>
            <w:tcW w:w="2977" w:type="dxa"/>
            <w:tcBorders>
              <w:top w:val="single" w:sz="12" w:space="0" w:color="008000"/>
              <w:bottom w:val="single" w:sz="6" w:space="0" w:color="008000"/>
            </w:tcBorders>
            <w:shd w:val="clear" w:color="auto" w:fill="FFFFFF"/>
          </w:tcPr>
          <w:p w14:paraId="1CCE84E1" w14:textId="77777777" w:rsidR="00E34781" w:rsidRPr="00E34781" w:rsidRDefault="00E34781" w:rsidP="00420C5B">
            <w:pPr>
              <w:pStyle w:val="CETBodytext"/>
              <w:rPr>
                <w:lang w:val="en-GB"/>
              </w:rPr>
            </w:pPr>
            <w:r w:rsidRPr="00E34781">
              <w:rPr>
                <w:rFonts w:cs="Arial"/>
                <w:szCs w:val="18"/>
                <w:lang w:val="en-GB"/>
              </w:rPr>
              <w:t>Barrier status</w:t>
            </w:r>
          </w:p>
        </w:tc>
        <w:tc>
          <w:tcPr>
            <w:tcW w:w="3827" w:type="dxa"/>
            <w:tcBorders>
              <w:top w:val="single" w:sz="12" w:space="0" w:color="008000"/>
              <w:bottom w:val="single" w:sz="6" w:space="0" w:color="008000"/>
            </w:tcBorders>
            <w:shd w:val="clear" w:color="auto" w:fill="FFFFFF"/>
          </w:tcPr>
          <w:p w14:paraId="39CC6A01" w14:textId="77777777" w:rsidR="00E34781" w:rsidRPr="00E34781" w:rsidRDefault="00E34781" w:rsidP="00420C5B">
            <w:pPr>
              <w:pStyle w:val="CETBodytext"/>
              <w:rPr>
                <w:lang w:val="en-GB"/>
              </w:rPr>
            </w:pPr>
          </w:p>
        </w:tc>
        <w:tc>
          <w:tcPr>
            <w:tcW w:w="2127" w:type="dxa"/>
            <w:tcBorders>
              <w:top w:val="single" w:sz="12" w:space="0" w:color="008000"/>
              <w:bottom w:val="single" w:sz="6" w:space="0" w:color="008000"/>
            </w:tcBorders>
            <w:shd w:val="clear" w:color="auto" w:fill="FFFFFF"/>
          </w:tcPr>
          <w:p w14:paraId="720B8007" w14:textId="77777777" w:rsidR="00E34781" w:rsidRPr="00E34781" w:rsidRDefault="00E34781" w:rsidP="00420C5B">
            <w:pPr>
              <w:pStyle w:val="CETBodytext"/>
              <w:rPr>
                <w:lang w:val="en-GB"/>
              </w:rPr>
            </w:pPr>
            <w:r w:rsidRPr="00E34781">
              <w:rPr>
                <w:rFonts w:cs="Arial"/>
                <w:szCs w:val="18"/>
                <w:lang w:val="en-GB"/>
              </w:rPr>
              <w:t>Barrier symbol</w:t>
            </w:r>
          </w:p>
        </w:tc>
      </w:tr>
      <w:tr w:rsidR="00E34781" w:rsidRPr="00E34781" w14:paraId="68B06B22" w14:textId="77777777" w:rsidTr="00420C5B">
        <w:tc>
          <w:tcPr>
            <w:tcW w:w="2977" w:type="dxa"/>
            <w:shd w:val="clear" w:color="auto" w:fill="FFFFFF"/>
          </w:tcPr>
          <w:p w14:paraId="0AD02CF4" w14:textId="77777777" w:rsidR="00E34781" w:rsidRPr="00E34781" w:rsidRDefault="00E34781" w:rsidP="00420C5B">
            <w:pPr>
              <w:pStyle w:val="CETBodytext"/>
              <w:rPr>
                <w:lang w:val="en-GB"/>
              </w:rPr>
            </w:pPr>
            <w:r w:rsidRPr="00E34781">
              <w:rPr>
                <w:rFonts w:cs="Arial"/>
                <w:szCs w:val="18"/>
                <w:lang w:val="en-GB"/>
              </w:rPr>
              <w:t>Trustworthy and not activated</w:t>
            </w:r>
            <w:r w:rsidRPr="00E34781">
              <w:rPr>
                <w:lang w:val="en-GB"/>
              </w:rPr>
              <w:t xml:space="preserve"> </w:t>
            </w:r>
          </w:p>
        </w:tc>
        <w:tc>
          <w:tcPr>
            <w:tcW w:w="3827" w:type="dxa"/>
            <w:shd w:val="clear" w:color="auto" w:fill="FFFFFF"/>
          </w:tcPr>
          <w:p w14:paraId="6F59309B" w14:textId="77777777" w:rsidR="00E34781" w:rsidRPr="00E34781" w:rsidRDefault="00E34781" w:rsidP="00420C5B">
            <w:pPr>
              <w:pStyle w:val="CETBodytext"/>
              <w:rPr>
                <w:lang w:val="en-GB"/>
              </w:rPr>
            </w:pPr>
            <w:r w:rsidRPr="00E34781">
              <w:rPr>
                <w:rFonts w:cs="Arial"/>
                <w:szCs w:val="18"/>
                <w:lang w:val="en-GB"/>
              </w:rPr>
              <w:t>Not maintained, inspected or tested on time</w:t>
            </w:r>
          </w:p>
        </w:tc>
        <w:tc>
          <w:tcPr>
            <w:tcW w:w="2127" w:type="dxa"/>
            <w:shd w:val="clear" w:color="auto" w:fill="FFFFFF"/>
          </w:tcPr>
          <w:p w14:paraId="4BAA8B57" w14:textId="77777777" w:rsidR="00E34781" w:rsidRPr="00E34781" w:rsidRDefault="00E34781" w:rsidP="00420C5B">
            <w:pPr>
              <w:pStyle w:val="CETBodytext"/>
              <w:jc w:val="center"/>
              <w:rPr>
                <w:lang w:val="en-GB"/>
              </w:rPr>
            </w:pPr>
            <w:r w:rsidRPr="00E34781">
              <w:rPr>
                <w:rFonts w:cs="Arial"/>
                <w:szCs w:val="18"/>
                <w:lang w:val="en-GB"/>
              </w:rPr>
              <w:t>V</w:t>
            </w:r>
          </w:p>
        </w:tc>
      </w:tr>
      <w:tr w:rsidR="00E34781" w:rsidRPr="00E34781" w14:paraId="48122292" w14:textId="77777777" w:rsidTr="00420C5B">
        <w:tc>
          <w:tcPr>
            <w:tcW w:w="2977" w:type="dxa"/>
            <w:shd w:val="clear" w:color="auto" w:fill="FFFFFF"/>
          </w:tcPr>
          <w:p w14:paraId="530AF215" w14:textId="77777777" w:rsidR="00E34781" w:rsidRPr="00E34781" w:rsidRDefault="00E34781" w:rsidP="00420C5B">
            <w:pPr>
              <w:pStyle w:val="CETBodytext"/>
              <w:ind w:right="-1"/>
              <w:rPr>
                <w:rFonts w:cs="Arial"/>
                <w:szCs w:val="18"/>
                <w:lang w:val="en-GB"/>
              </w:rPr>
            </w:pPr>
            <w:r w:rsidRPr="00E34781">
              <w:rPr>
                <w:rFonts w:cs="Arial"/>
                <w:szCs w:val="18"/>
                <w:lang w:val="en-GB"/>
              </w:rPr>
              <w:t>Possibly not trustworthy</w:t>
            </w:r>
          </w:p>
        </w:tc>
        <w:tc>
          <w:tcPr>
            <w:tcW w:w="3827" w:type="dxa"/>
            <w:shd w:val="clear" w:color="auto" w:fill="FFFFFF"/>
          </w:tcPr>
          <w:p w14:paraId="65F5FDB2" w14:textId="77777777" w:rsidR="00E34781" w:rsidRPr="00E34781" w:rsidRDefault="00E34781" w:rsidP="00420C5B">
            <w:pPr>
              <w:pStyle w:val="CETBodytext"/>
              <w:ind w:right="-1"/>
              <w:rPr>
                <w:rFonts w:cs="Arial"/>
                <w:szCs w:val="18"/>
                <w:lang w:val="en-GB"/>
              </w:rPr>
            </w:pPr>
          </w:p>
        </w:tc>
        <w:tc>
          <w:tcPr>
            <w:tcW w:w="2127" w:type="dxa"/>
            <w:shd w:val="clear" w:color="auto" w:fill="D9D9D9" w:themeFill="background1" w:themeFillShade="D9"/>
          </w:tcPr>
          <w:p w14:paraId="29128F59"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r>
      <w:tr w:rsidR="00E34781" w:rsidRPr="00E34781" w14:paraId="29C5DE9D" w14:textId="77777777" w:rsidTr="00420C5B">
        <w:tc>
          <w:tcPr>
            <w:tcW w:w="2977" w:type="dxa"/>
            <w:shd w:val="clear" w:color="auto" w:fill="FFFFFF"/>
          </w:tcPr>
          <w:p w14:paraId="7AC521B0" w14:textId="77777777" w:rsidR="00E34781" w:rsidRPr="00E34781" w:rsidRDefault="00E34781" w:rsidP="00420C5B">
            <w:pPr>
              <w:pStyle w:val="CETBodytext"/>
              <w:ind w:right="-1"/>
              <w:rPr>
                <w:rFonts w:cs="Arial"/>
                <w:szCs w:val="18"/>
                <w:lang w:val="en-GB"/>
              </w:rPr>
            </w:pPr>
            <w:r w:rsidRPr="00E34781">
              <w:rPr>
                <w:rFonts w:cs="Arial"/>
                <w:szCs w:val="18"/>
                <w:lang w:val="en-GB"/>
              </w:rPr>
              <w:t>Not trustworthy</w:t>
            </w:r>
          </w:p>
        </w:tc>
        <w:tc>
          <w:tcPr>
            <w:tcW w:w="3827" w:type="dxa"/>
            <w:shd w:val="clear" w:color="auto" w:fill="FFFFFF"/>
          </w:tcPr>
          <w:p w14:paraId="77AA574B" w14:textId="77777777" w:rsidR="00E34781" w:rsidRPr="00E34781" w:rsidRDefault="00E34781" w:rsidP="00420C5B">
            <w:pPr>
              <w:pStyle w:val="CETBodytext"/>
              <w:ind w:right="-1"/>
              <w:rPr>
                <w:rFonts w:cs="Arial"/>
                <w:szCs w:val="18"/>
                <w:lang w:val="en-GB"/>
              </w:rPr>
            </w:pPr>
            <w:r w:rsidRPr="00E34781">
              <w:rPr>
                <w:rFonts w:cs="Arial"/>
                <w:szCs w:val="18"/>
                <w:lang w:val="en-GB"/>
              </w:rPr>
              <w:t>Overridden or defective</w:t>
            </w:r>
          </w:p>
        </w:tc>
        <w:tc>
          <w:tcPr>
            <w:tcW w:w="2127" w:type="dxa"/>
            <w:shd w:val="clear" w:color="auto" w:fill="A6A6A6" w:themeFill="background1" w:themeFillShade="A6"/>
          </w:tcPr>
          <w:p w14:paraId="5CE3C9E9"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Θ</w:t>
            </w:r>
          </w:p>
        </w:tc>
      </w:tr>
      <w:tr w:rsidR="00E34781" w:rsidRPr="00E34781" w14:paraId="298BEEFE" w14:textId="77777777" w:rsidTr="00420C5B">
        <w:tc>
          <w:tcPr>
            <w:tcW w:w="2977" w:type="dxa"/>
            <w:shd w:val="clear" w:color="auto" w:fill="FFFFFF"/>
          </w:tcPr>
          <w:p w14:paraId="26FA0740" w14:textId="77777777" w:rsidR="00E34781" w:rsidRPr="00E34781" w:rsidRDefault="00E34781" w:rsidP="00420C5B">
            <w:pPr>
              <w:pStyle w:val="CETBodytext"/>
              <w:ind w:right="-1"/>
              <w:rPr>
                <w:rFonts w:cs="Arial"/>
                <w:szCs w:val="18"/>
                <w:lang w:val="en-GB"/>
              </w:rPr>
            </w:pPr>
            <w:r w:rsidRPr="00E34781">
              <w:rPr>
                <w:rFonts w:cs="Arial"/>
                <w:szCs w:val="18"/>
                <w:lang w:val="en-GB"/>
              </w:rPr>
              <w:t>Trustworthy and activated</w:t>
            </w:r>
          </w:p>
        </w:tc>
        <w:tc>
          <w:tcPr>
            <w:tcW w:w="3827" w:type="dxa"/>
            <w:shd w:val="clear" w:color="auto" w:fill="FFFFFF"/>
          </w:tcPr>
          <w:p w14:paraId="60F4F066" w14:textId="77777777" w:rsidR="00E34781" w:rsidRPr="00E34781" w:rsidRDefault="00E34781" w:rsidP="00420C5B">
            <w:pPr>
              <w:pStyle w:val="CETBodytext"/>
              <w:ind w:right="-1"/>
              <w:rPr>
                <w:rFonts w:cs="Arial"/>
                <w:szCs w:val="18"/>
                <w:lang w:val="en-GB"/>
              </w:rPr>
            </w:pPr>
          </w:p>
        </w:tc>
        <w:tc>
          <w:tcPr>
            <w:tcW w:w="2127" w:type="dxa"/>
            <w:shd w:val="clear" w:color="auto" w:fill="000000" w:themeFill="text1"/>
          </w:tcPr>
          <w:p w14:paraId="2FB76434" w14:textId="77777777" w:rsidR="00E34781" w:rsidRPr="00E34781" w:rsidRDefault="00E34781" w:rsidP="00420C5B">
            <w:pPr>
              <w:pStyle w:val="CETBodytext"/>
              <w:ind w:right="-1"/>
              <w:jc w:val="center"/>
              <w:rPr>
                <w:rFonts w:cs="Arial"/>
                <w:szCs w:val="18"/>
                <w:lang w:val="en-GB"/>
              </w:rPr>
            </w:pPr>
            <w:r w:rsidRPr="00E34781">
              <w:rPr>
                <w:rFonts w:cs="Arial"/>
                <w:color w:val="FFFFFF" w:themeColor="background1"/>
                <w:szCs w:val="18"/>
                <w:lang w:val="en-GB"/>
              </w:rPr>
              <w:t>!</w:t>
            </w:r>
          </w:p>
        </w:tc>
      </w:tr>
    </w:tbl>
    <w:p w14:paraId="785C406A" w14:textId="77777777" w:rsidR="00E34781" w:rsidRPr="00E34781" w:rsidRDefault="00E34781" w:rsidP="00E34781">
      <w:pPr>
        <w:rPr>
          <w:rFonts w:cs="Arial"/>
          <w:szCs w:val="18"/>
        </w:rPr>
      </w:pPr>
    </w:p>
    <w:p w14:paraId="062020EA" w14:textId="611333AF" w:rsidR="00E34781" w:rsidRDefault="00E34781" w:rsidP="00E34781">
      <w:pPr>
        <w:rPr>
          <w:rFonts w:cs="Arial"/>
          <w:szCs w:val="18"/>
        </w:rPr>
      </w:pPr>
      <w:r w:rsidRPr="00E34781">
        <w:rPr>
          <w:rFonts w:cs="Arial"/>
          <w:szCs w:val="18"/>
        </w:rPr>
        <w:t>Trustworthiness of a barrier and risk reduction can be calculated, using a common and generally accepted equation from the IEC (2016) of the unavailability of a barrier as a function of time: U(t) = 1 - e</w:t>
      </w:r>
      <w:r w:rsidRPr="00E34781">
        <w:rPr>
          <w:rFonts w:cs="Arial"/>
          <w:szCs w:val="18"/>
          <w:vertAlign w:val="superscript"/>
        </w:rPr>
        <w:t>-</w:t>
      </w:r>
      <w:proofErr w:type="spellStart"/>
      <w:r w:rsidRPr="00E34781">
        <w:rPr>
          <w:rFonts w:cs="Arial"/>
          <w:szCs w:val="18"/>
          <w:vertAlign w:val="superscript"/>
        </w:rPr>
        <w:t>λt</w:t>
      </w:r>
      <w:proofErr w:type="spellEnd"/>
      <w:r w:rsidRPr="00E34781">
        <w:rPr>
          <w:rFonts w:cs="Arial"/>
          <w:szCs w:val="18"/>
        </w:rPr>
        <w:t>, where λ is the barrier failure frequency and t is any moment in time. U(t) is a dimensionless number between 0 and 1, a barrier is 100% trustworthy when the barrier is new. U(t) increases as time progresses. If a barrier is never maintained, inspected and tested, and the time t runs to infinity, U(t) will go to 1, the barrier will fail with 100% certainty when it is needed and/or the barrier will not (correctly) perform its necessary function. The risk reduction RR that can be achieved with the barrier is the reciprocal value of U(t), RR equals (1 - e</w:t>
      </w:r>
      <w:r w:rsidRPr="00E34781">
        <w:rPr>
          <w:rFonts w:cs="Arial"/>
          <w:szCs w:val="18"/>
          <w:vertAlign w:val="superscript"/>
        </w:rPr>
        <w:t>-</w:t>
      </w:r>
      <w:proofErr w:type="spellStart"/>
      <w:r w:rsidRPr="00E34781">
        <w:rPr>
          <w:rFonts w:cs="Arial"/>
          <w:szCs w:val="18"/>
          <w:vertAlign w:val="superscript"/>
        </w:rPr>
        <w:t>λt</w:t>
      </w:r>
      <w:proofErr w:type="spellEnd"/>
      <w:r w:rsidRPr="00E34781">
        <w:rPr>
          <w:rFonts w:cs="Arial"/>
          <w:szCs w:val="18"/>
        </w:rPr>
        <w:t>)</w:t>
      </w:r>
      <w:r w:rsidRPr="00E34781">
        <w:rPr>
          <w:rFonts w:cs="Arial"/>
          <w:szCs w:val="18"/>
          <w:vertAlign w:val="superscript"/>
        </w:rPr>
        <w:t>-1</w:t>
      </w:r>
      <w:r w:rsidRPr="00E34781">
        <w:rPr>
          <w:rFonts w:cs="Arial"/>
          <w:szCs w:val="18"/>
        </w:rPr>
        <w:t>. The risk reduction is mostly given as a 10-, 100- or 1000-fold reduction. The risk reduction expressed in logarithm is abbreviated as RRL, where the RRL is equal to log(1 - e</w:t>
      </w:r>
      <w:r w:rsidRPr="00E34781">
        <w:rPr>
          <w:rFonts w:cs="Arial"/>
          <w:szCs w:val="18"/>
          <w:vertAlign w:val="superscript"/>
        </w:rPr>
        <w:t>-</w:t>
      </w:r>
      <w:proofErr w:type="spellStart"/>
      <w:r w:rsidRPr="00E34781">
        <w:rPr>
          <w:rFonts w:cs="Arial"/>
          <w:szCs w:val="18"/>
          <w:vertAlign w:val="superscript"/>
        </w:rPr>
        <w:t>λt</w:t>
      </w:r>
      <w:proofErr w:type="spellEnd"/>
      <w:r w:rsidRPr="00E34781">
        <w:rPr>
          <w:rFonts w:cs="Arial"/>
          <w:szCs w:val="18"/>
        </w:rPr>
        <w:t>)</w:t>
      </w:r>
      <w:r w:rsidRPr="00E34781">
        <w:rPr>
          <w:rFonts w:cs="Arial"/>
          <w:szCs w:val="18"/>
          <w:vertAlign w:val="superscript"/>
        </w:rPr>
        <w:t>-1</w:t>
      </w:r>
      <w:r w:rsidRPr="00E34781">
        <w:rPr>
          <w:rFonts w:cs="Arial"/>
          <w:szCs w:val="18"/>
        </w:rPr>
        <w:t xml:space="preserve">. In this study the time interval in between each maintenance, inspection and test is defined as T, meaning the barrier is maintained, inspected and tested at T, 2T, 3T, etc. The barrier can be qualified as trustworthy if </w:t>
      </w:r>
      <w:r w:rsidR="00C47FBD">
        <w:rPr>
          <w:rFonts w:cs="Arial"/>
          <w:szCs w:val="18"/>
        </w:rPr>
        <w:t xml:space="preserve">it </w:t>
      </w:r>
      <w:r w:rsidRPr="00E34781">
        <w:rPr>
          <w:rFonts w:cs="Arial"/>
          <w:szCs w:val="18"/>
        </w:rPr>
        <w:t xml:space="preserve">is checked </w:t>
      </w:r>
      <w:r w:rsidR="008A0432">
        <w:rPr>
          <w:rFonts w:cs="Arial"/>
          <w:szCs w:val="18"/>
        </w:rPr>
        <w:t xml:space="preserve">no </w:t>
      </w:r>
      <w:r w:rsidRPr="00E34781">
        <w:rPr>
          <w:rFonts w:cs="Arial"/>
          <w:szCs w:val="18"/>
        </w:rPr>
        <w:t>later than the required period T</w:t>
      </w:r>
      <w:r w:rsidR="00C47FBD">
        <w:rPr>
          <w:rFonts w:cs="Arial"/>
          <w:szCs w:val="18"/>
        </w:rPr>
        <w:t xml:space="preserve">. </w:t>
      </w:r>
      <w:r w:rsidR="007F7F94">
        <w:rPr>
          <w:rFonts w:cs="Arial"/>
          <w:szCs w:val="18"/>
        </w:rPr>
        <w:t>If it is checked later than the required period T</w:t>
      </w:r>
      <w:r w:rsidRPr="00E34781">
        <w:rPr>
          <w:rFonts w:cs="Arial"/>
          <w:szCs w:val="18"/>
        </w:rPr>
        <w:t>, the RR will decrease</w:t>
      </w:r>
      <w:r w:rsidR="003249D4">
        <w:rPr>
          <w:rFonts w:cs="Arial"/>
          <w:szCs w:val="18"/>
        </w:rPr>
        <w:t xml:space="preserve">  below its designed value</w:t>
      </w:r>
      <w:r w:rsidRPr="00E34781">
        <w:rPr>
          <w:rFonts w:cs="Arial"/>
          <w:szCs w:val="18"/>
        </w:rPr>
        <w:t xml:space="preserve">. Table 2 shows the effect of postponement of maintenance, inspection and testing on the risk reduction RR and the risk reduction expressed in logarithm RRL. Three different values of U(t), meaning 0.1, 0.01 and 0.001, are included in Table 2 for various time intervals. An unavailability of 0.1 means that on average, the barrier is not working in 10% of the demands. Table 2 shows, for example, the effect of a postponed check by half a period to 1.5T. U(t) increases by a factor of 1.5 to resp. 0.15, 0.015 and 0.0015 and the RR decreases by 33%. In this study, it is assumed that a barrier may not be trustworthy if the RR has decreased by 50% or more from the required design value. Table 2 shows that this is the case if a barrier has not been checked (maintained, inspected and tested) for more than a doubled period of T (from 2T upwards). </w:t>
      </w:r>
    </w:p>
    <w:p w14:paraId="199B74F8" w14:textId="77777777" w:rsidR="00E34781" w:rsidRPr="00E34781" w:rsidRDefault="00E34781" w:rsidP="00E34781">
      <w:pPr>
        <w:spacing w:before="240" w:after="80" w:line="240" w:lineRule="exact"/>
        <w:rPr>
          <w:rFonts w:cs="Arial"/>
          <w:i/>
          <w:iCs/>
          <w:szCs w:val="18"/>
        </w:rPr>
      </w:pPr>
      <w:r w:rsidRPr="00E34781">
        <w:rPr>
          <w:rFonts w:cs="Arial"/>
          <w:i/>
          <w:iCs/>
          <w:szCs w:val="18"/>
        </w:rPr>
        <w:lastRenderedPageBreak/>
        <w:t>Table 2: The influence of the time interval on U(t), RR and RRL</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268"/>
        <w:gridCol w:w="2410"/>
        <w:gridCol w:w="2126"/>
        <w:gridCol w:w="1985"/>
      </w:tblGrid>
      <w:tr w:rsidR="00E34781" w:rsidRPr="00E34781" w14:paraId="1E72F51D" w14:textId="77777777" w:rsidTr="00420C5B">
        <w:tc>
          <w:tcPr>
            <w:tcW w:w="2268" w:type="dxa"/>
            <w:tcBorders>
              <w:top w:val="single" w:sz="12" w:space="0" w:color="008000"/>
              <w:bottom w:val="single" w:sz="6" w:space="0" w:color="008000"/>
            </w:tcBorders>
            <w:shd w:val="clear" w:color="auto" w:fill="FFFFFF"/>
          </w:tcPr>
          <w:p w14:paraId="7BE31E44" w14:textId="77777777" w:rsidR="00E34781" w:rsidRPr="00E34781" w:rsidRDefault="00E34781" w:rsidP="00420C5B">
            <w:pPr>
              <w:pStyle w:val="CETBodytext"/>
              <w:jc w:val="center"/>
              <w:rPr>
                <w:lang w:val="en-GB"/>
              </w:rPr>
            </w:pPr>
            <w:r w:rsidRPr="00E34781">
              <w:rPr>
                <w:rFonts w:cs="Arial"/>
                <w:szCs w:val="18"/>
                <w:lang w:val="en-GB"/>
              </w:rPr>
              <w:t>Time interval T</w:t>
            </w:r>
          </w:p>
        </w:tc>
        <w:tc>
          <w:tcPr>
            <w:tcW w:w="2410" w:type="dxa"/>
            <w:tcBorders>
              <w:top w:val="single" w:sz="12" w:space="0" w:color="008000"/>
              <w:bottom w:val="single" w:sz="6" w:space="0" w:color="008000"/>
            </w:tcBorders>
            <w:shd w:val="clear" w:color="auto" w:fill="FFFFFF"/>
          </w:tcPr>
          <w:p w14:paraId="530CFE2E" w14:textId="77777777" w:rsidR="00E34781" w:rsidRPr="00E34781" w:rsidRDefault="00E34781" w:rsidP="00420C5B">
            <w:pPr>
              <w:pStyle w:val="CETBodytext"/>
              <w:jc w:val="center"/>
              <w:rPr>
                <w:lang w:val="en-GB"/>
              </w:rPr>
            </w:pPr>
            <w:r w:rsidRPr="00E34781">
              <w:rPr>
                <w:rFonts w:cs="Arial"/>
                <w:szCs w:val="18"/>
                <w:lang w:val="en-GB"/>
              </w:rPr>
              <w:t>U(t) = 1 – e</w:t>
            </w:r>
            <w:r w:rsidRPr="00E34781">
              <w:rPr>
                <w:rFonts w:cs="Arial"/>
                <w:szCs w:val="18"/>
                <w:vertAlign w:val="superscript"/>
                <w:lang w:val="en-GB"/>
              </w:rPr>
              <w:t>-</w:t>
            </w:r>
            <w:proofErr w:type="spellStart"/>
            <w:r w:rsidRPr="00E34781">
              <w:rPr>
                <w:rFonts w:cs="Arial"/>
                <w:szCs w:val="18"/>
                <w:vertAlign w:val="superscript"/>
                <w:lang w:val="en-GB"/>
              </w:rPr>
              <w:t>λt</w:t>
            </w:r>
            <w:proofErr w:type="spellEnd"/>
          </w:p>
        </w:tc>
        <w:tc>
          <w:tcPr>
            <w:tcW w:w="2126" w:type="dxa"/>
            <w:tcBorders>
              <w:top w:val="single" w:sz="12" w:space="0" w:color="008000"/>
              <w:bottom w:val="single" w:sz="6" w:space="0" w:color="008000"/>
            </w:tcBorders>
            <w:shd w:val="clear" w:color="auto" w:fill="FFFFFF"/>
          </w:tcPr>
          <w:p w14:paraId="347FFEB5" w14:textId="77777777" w:rsidR="00E34781" w:rsidRPr="00E34781" w:rsidRDefault="00E34781" w:rsidP="00420C5B">
            <w:pPr>
              <w:pStyle w:val="CETBodytext"/>
              <w:jc w:val="center"/>
              <w:rPr>
                <w:lang w:val="en-GB"/>
              </w:rPr>
            </w:pPr>
            <w:r w:rsidRPr="00E34781">
              <w:rPr>
                <w:rFonts w:cs="Arial"/>
                <w:szCs w:val="18"/>
                <w:lang w:val="en-GB"/>
              </w:rPr>
              <w:t>RR = (1 – e</w:t>
            </w:r>
            <w:r w:rsidRPr="00E34781">
              <w:rPr>
                <w:rFonts w:cs="Arial"/>
                <w:szCs w:val="18"/>
                <w:vertAlign w:val="superscript"/>
                <w:lang w:val="en-GB"/>
              </w:rPr>
              <w:t>-</w:t>
            </w:r>
            <w:proofErr w:type="spellStart"/>
            <w:r w:rsidRPr="00E34781">
              <w:rPr>
                <w:rFonts w:cs="Arial"/>
                <w:szCs w:val="18"/>
                <w:vertAlign w:val="superscript"/>
                <w:lang w:val="en-GB"/>
              </w:rPr>
              <w:t>λt</w:t>
            </w:r>
            <w:proofErr w:type="spellEnd"/>
            <w:r w:rsidRPr="00E34781">
              <w:rPr>
                <w:rFonts w:cs="Arial"/>
                <w:szCs w:val="18"/>
                <w:lang w:val="en-GB"/>
              </w:rPr>
              <w:t>)</w:t>
            </w:r>
            <w:r w:rsidRPr="00E34781">
              <w:rPr>
                <w:rFonts w:cs="Arial"/>
                <w:szCs w:val="18"/>
                <w:vertAlign w:val="superscript"/>
                <w:lang w:val="en-GB"/>
              </w:rPr>
              <w:t>-1</w:t>
            </w:r>
          </w:p>
        </w:tc>
        <w:tc>
          <w:tcPr>
            <w:tcW w:w="1985" w:type="dxa"/>
            <w:tcBorders>
              <w:top w:val="single" w:sz="12" w:space="0" w:color="008000"/>
              <w:bottom w:val="single" w:sz="6" w:space="0" w:color="008000"/>
            </w:tcBorders>
            <w:shd w:val="clear" w:color="auto" w:fill="FFFFFF"/>
          </w:tcPr>
          <w:p w14:paraId="2D5B30FC" w14:textId="36D20692" w:rsidR="00E34781" w:rsidRPr="00E34781" w:rsidRDefault="00E34781" w:rsidP="00420C5B">
            <w:pPr>
              <w:pStyle w:val="CETBodytext"/>
              <w:ind w:right="-1"/>
              <w:jc w:val="center"/>
              <w:rPr>
                <w:rFonts w:cs="Arial"/>
                <w:szCs w:val="18"/>
                <w:lang w:val="en-GB"/>
              </w:rPr>
            </w:pPr>
            <w:r w:rsidRPr="00E34781">
              <w:rPr>
                <w:rFonts w:cs="Arial"/>
                <w:szCs w:val="18"/>
                <w:lang w:val="en-GB"/>
              </w:rPr>
              <w:t>RRL = log(1 – e</w:t>
            </w:r>
            <w:r w:rsidRPr="00E34781">
              <w:rPr>
                <w:rFonts w:cs="Arial"/>
                <w:szCs w:val="18"/>
                <w:vertAlign w:val="superscript"/>
                <w:lang w:val="en-GB"/>
              </w:rPr>
              <w:t>-</w:t>
            </w:r>
            <w:proofErr w:type="spellStart"/>
            <w:r w:rsidRPr="00E34781">
              <w:rPr>
                <w:rFonts w:cs="Arial"/>
                <w:szCs w:val="18"/>
                <w:vertAlign w:val="superscript"/>
                <w:lang w:val="en-GB"/>
              </w:rPr>
              <w:t>λt</w:t>
            </w:r>
            <w:proofErr w:type="spellEnd"/>
            <w:r w:rsidRPr="00E34781">
              <w:rPr>
                <w:rFonts w:cs="Arial"/>
                <w:szCs w:val="18"/>
                <w:lang w:val="en-GB"/>
              </w:rPr>
              <w:t>)</w:t>
            </w:r>
            <w:r w:rsidRPr="00E34781">
              <w:rPr>
                <w:rFonts w:cs="Arial"/>
                <w:szCs w:val="18"/>
                <w:vertAlign w:val="superscript"/>
                <w:lang w:val="en-GB"/>
              </w:rPr>
              <w:t>-1</w:t>
            </w:r>
          </w:p>
        </w:tc>
      </w:tr>
      <w:tr w:rsidR="00E34781" w:rsidRPr="00E34781" w14:paraId="26915FF9" w14:textId="77777777" w:rsidTr="00420C5B">
        <w:tc>
          <w:tcPr>
            <w:tcW w:w="2268" w:type="dxa"/>
            <w:shd w:val="clear" w:color="auto" w:fill="FFFFFF"/>
          </w:tcPr>
          <w:p w14:paraId="3B320A8A" w14:textId="77777777" w:rsidR="00E34781" w:rsidRPr="00E34781" w:rsidRDefault="00E34781" w:rsidP="00420C5B">
            <w:pPr>
              <w:pStyle w:val="CETBodytext"/>
              <w:jc w:val="center"/>
              <w:rPr>
                <w:lang w:val="en-GB"/>
              </w:rPr>
            </w:pPr>
            <w:r w:rsidRPr="00E34781">
              <w:rPr>
                <w:rFonts w:cs="Arial"/>
                <w:szCs w:val="18"/>
                <w:lang w:val="en-GB"/>
              </w:rPr>
              <w:t>T</w:t>
            </w:r>
          </w:p>
        </w:tc>
        <w:tc>
          <w:tcPr>
            <w:tcW w:w="2410" w:type="dxa"/>
            <w:shd w:val="clear" w:color="auto" w:fill="FFFFFF"/>
          </w:tcPr>
          <w:p w14:paraId="09CB2208" w14:textId="77777777" w:rsidR="00E34781" w:rsidRPr="00E34781" w:rsidRDefault="00E34781" w:rsidP="00420C5B">
            <w:pPr>
              <w:pStyle w:val="CETBodytext"/>
              <w:jc w:val="center"/>
              <w:rPr>
                <w:lang w:val="en-GB"/>
              </w:rPr>
            </w:pPr>
            <w:r w:rsidRPr="00E34781">
              <w:rPr>
                <w:rFonts w:cs="Arial"/>
                <w:szCs w:val="18"/>
                <w:lang w:val="en-GB"/>
              </w:rPr>
              <w:t>0.1 / 0.01 / 0.001</w:t>
            </w:r>
          </w:p>
        </w:tc>
        <w:tc>
          <w:tcPr>
            <w:tcW w:w="2126" w:type="dxa"/>
            <w:shd w:val="clear" w:color="auto" w:fill="FFFFFF"/>
          </w:tcPr>
          <w:p w14:paraId="50E554D6" w14:textId="77777777" w:rsidR="00E34781" w:rsidRPr="00E34781" w:rsidRDefault="00E34781" w:rsidP="00420C5B">
            <w:pPr>
              <w:pStyle w:val="CETBodytext"/>
              <w:jc w:val="center"/>
              <w:rPr>
                <w:lang w:val="en-GB"/>
              </w:rPr>
            </w:pPr>
            <w:r w:rsidRPr="00E34781">
              <w:rPr>
                <w:rFonts w:cs="Arial"/>
                <w:szCs w:val="18"/>
                <w:lang w:val="en-GB"/>
              </w:rPr>
              <w:t>10 / 100 / 1000</w:t>
            </w:r>
          </w:p>
        </w:tc>
        <w:tc>
          <w:tcPr>
            <w:tcW w:w="1985" w:type="dxa"/>
            <w:shd w:val="clear" w:color="auto" w:fill="FFFFFF"/>
          </w:tcPr>
          <w:p w14:paraId="08F47DF9"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1 / 2 / 3</w:t>
            </w:r>
          </w:p>
        </w:tc>
      </w:tr>
      <w:tr w:rsidR="00E34781" w:rsidRPr="00E34781" w14:paraId="2A541B9B" w14:textId="77777777" w:rsidTr="00420C5B">
        <w:tc>
          <w:tcPr>
            <w:tcW w:w="2268" w:type="dxa"/>
            <w:shd w:val="clear" w:color="auto" w:fill="FFFFFF"/>
          </w:tcPr>
          <w:p w14:paraId="321B94DF"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1.5T</w:t>
            </w:r>
          </w:p>
        </w:tc>
        <w:tc>
          <w:tcPr>
            <w:tcW w:w="2410" w:type="dxa"/>
            <w:shd w:val="clear" w:color="auto" w:fill="FFFFFF"/>
          </w:tcPr>
          <w:p w14:paraId="672AF870"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0.15 / 0.015 / 0.0015</w:t>
            </w:r>
          </w:p>
        </w:tc>
        <w:tc>
          <w:tcPr>
            <w:tcW w:w="2126" w:type="dxa"/>
            <w:shd w:val="clear" w:color="auto" w:fill="FFFFFF"/>
          </w:tcPr>
          <w:p w14:paraId="7689E130"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6.67 / 66.7 / 667</w:t>
            </w:r>
          </w:p>
        </w:tc>
        <w:tc>
          <w:tcPr>
            <w:tcW w:w="1985" w:type="dxa"/>
            <w:shd w:val="clear" w:color="auto" w:fill="FFFFFF"/>
          </w:tcPr>
          <w:p w14:paraId="2290DBFC"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0.82 / 1.82 / 2.82</w:t>
            </w:r>
          </w:p>
        </w:tc>
      </w:tr>
      <w:tr w:rsidR="00E34781" w:rsidRPr="00E34781" w14:paraId="40F79F81" w14:textId="77777777" w:rsidTr="00420C5B">
        <w:tc>
          <w:tcPr>
            <w:tcW w:w="2268" w:type="dxa"/>
            <w:shd w:val="clear" w:color="auto" w:fill="FFFFFF"/>
          </w:tcPr>
          <w:p w14:paraId="77B3C09A"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2T</w:t>
            </w:r>
          </w:p>
        </w:tc>
        <w:tc>
          <w:tcPr>
            <w:tcW w:w="2410" w:type="dxa"/>
            <w:shd w:val="clear" w:color="auto" w:fill="FFFFFF"/>
          </w:tcPr>
          <w:p w14:paraId="45F0D619"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0.19 / 0.019 / 0.0019</w:t>
            </w:r>
          </w:p>
        </w:tc>
        <w:tc>
          <w:tcPr>
            <w:tcW w:w="2126" w:type="dxa"/>
            <w:shd w:val="clear" w:color="auto" w:fill="FFFFFF"/>
          </w:tcPr>
          <w:p w14:paraId="43524430"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5.25 / 52.5 / 525</w:t>
            </w:r>
          </w:p>
        </w:tc>
        <w:tc>
          <w:tcPr>
            <w:tcW w:w="1985" w:type="dxa"/>
            <w:shd w:val="clear" w:color="auto" w:fill="FFFFFF"/>
          </w:tcPr>
          <w:p w14:paraId="460ECDBD"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0.72 / 1.72 / 2.72</w:t>
            </w:r>
          </w:p>
        </w:tc>
      </w:tr>
      <w:tr w:rsidR="00E34781" w:rsidRPr="00E34781" w14:paraId="2B7BADE2" w14:textId="77777777" w:rsidTr="00420C5B">
        <w:tc>
          <w:tcPr>
            <w:tcW w:w="2268" w:type="dxa"/>
            <w:shd w:val="clear" w:color="auto" w:fill="D9D9D9" w:themeFill="background1" w:themeFillShade="D9"/>
          </w:tcPr>
          <w:p w14:paraId="76AEFB84"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2.12T</w:t>
            </w:r>
          </w:p>
        </w:tc>
        <w:tc>
          <w:tcPr>
            <w:tcW w:w="2410" w:type="dxa"/>
            <w:shd w:val="clear" w:color="auto" w:fill="D9D9D9" w:themeFill="background1" w:themeFillShade="D9"/>
          </w:tcPr>
          <w:p w14:paraId="31F3E71F"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0.20 / 0.020 / 0.0020</w:t>
            </w:r>
          </w:p>
        </w:tc>
        <w:tc>
          <w:tcPr>
            <w:tcW w:w="2126" w:type="dxa"/>
            <w:shd w:val="clear" w:color="auto" w:fill="D9D9D9" w:themeFill="background1" w:themeFillShade="D9"/>
          </w:tcPr>
          <w:p w14:paraId="74F666F3"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5.01 / 50.1 / 501</w:t>
            </w:r>
          </w:p>
        </w:tc>
        <w:tc>
          <w:tcPr>
            <w:tcW w:w="1985" w:type="dxa"/>
            <w:shd w:val="clear" w:color="auto" w:fill="D9D9D9" w:themeFill="background1" w:themeFillShade="D9"/>
          </w:tcPr>
          <w:p w14:paraId="2BD87E8D"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0.70 / 1.70 / 2.70</w:t>
            </w:r>
          </w:p>
        </w:tc>
      </w:tr>
      <w:tr w:rsidR="00E34781" w:rsidRPr="00E34781" w14:paraId="635288D7" w14:textId="77777777" w:rsidTr="00420C5B">
        <w:tc>
          <w:tcPr>
            <w:tcW w:w="2268" w:type="dxa"/>
            <w:shd w:val="clear" w:color="auto" w:fill="FFFFFF"/>
          </w:tcPr>
          <w:p w14:paraId="42CA7598"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3T</w:t>
            </w:r>
          </w:p>
        </w:tc>
        <w:tc>
          <w:tcPr>
            <w:tcW w:w="2410" w:type="dxa"/>
            <w:shd w:val="clear" w:color="auto" w:fill="FFFFFF"/>
          </w:tcPr>
          <w:p w14:paraId="6C0E0E6D"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0.27 / 0.027 / 0.0027</w:t>
            </w:r>
          </w:p>
        </w:tc>
        <w:tc>
          <w:tcPr>
            <w:tcW w:w="2126" w:type="dxa"/>
            <w:shd w:val="clear" w:color="auto" w:fill="FFFFFF"/>
          </w:tcPr>
          <w:p w14:paraId="724C4D00"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3.69 / 36.9 / 369</w:t>
            </w:r>
          </w:p>
        </w:tc>
        <w:tc>
          <w:tcPr>
            <w:tcW w:w="1985" w:type="dxa"/>
            <w:shd w:val="clear" w:color="auto" w:fill="FFFFFF"/>
          </w:tcPr>
          <w:p w14:paraId="7432FE4B"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0.57 / 1.57 / 2.57</w:t>
            </w:r>
          </w:p>
        </w:tc>
      </w:tr>
      <w:tr w:rsidR="00E34781" w:rsidRPr="00E34781" w14:paraId="346296E2" w14:textId="77777777" w:rsidTr="00420C5B">
        <w:tc>
          <w:tcPr>
            <w:tcW w:w="2268" w:type="dxa"/>
            <w:shd w:val="clear" w:color="auto" w:fill="FFFFFF"/>
          </w:tcPr>
          <w:p w14:paraId="70589B36"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3.66T</w:t>
            </w:r>
          </w:p>
        </w:tc>
        <w:tc>
          <w:tcPr>
            <w:tcW w:w="2410" w:type="dxa"/>
            <w:shd w:val="clear" w:color="auto" w:fill="FFFFFF"/>
          </w:tcPr>
          <w:p w14:paraId="1247512B"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0.32 / 0.032 / 0.0032</w:t>
            </w:r>
          </w:p>
        </w:tc>
        <w:tc>
          <w:tcPr>
            <w:tcW w:w="2126" w:type="dxa"/>
            <w:shd w:val="clear" w:color="auto" w:fill="FFFFFF"/>
          </w:tcPr>
          <w:p w14:paraId="55019D7C"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3.16 / 31.6 / 316</w:t>
            </w:r>
          </w:p>
        </w:tc>
        <w:tc>
          <w:tcPr>
            <w:tcW w:w="1985" w:type="dxa"/>
            <w:shd w:val="clear" w:color="auto" w:fill="FFFFFF"/>
          </w:tcPr>
          <w:p w14:paraId="3A038719"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0.50 / 1.50 / 2.50</w:t>
            </w:r>
          </w:p>
        </w:tc>
      </w:tr>
      <w:tr w:rsidR="00E34781" w:rsidRPr="00E34781" w14:paraId="6DF58CC4" w14:textId="77777777" w:rsidTr="00420C5B">
        <w:tc>
          <w:tcPr>
            <w:tcW w:w="2268" w:type="dxa"/>
            <w:shd w:val="clear" w:color="auto" w:fill="FFFFFF"/>
          </w:tcPr>
          <w:p w14:paraId="45433CE9"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6.58T</w:t>
            </w:r>
          </w:p>
        </w:tc>
        <w:tc>
          <w:tcPr>
            <w:tcW w:w="2410" w:type="dxa"/>
            <w:shd w:val="clear" w:color="auto" w:fill="FFFFFF"/>
          </w:tcPr>
          <w:p w14:paraId="3F848432"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0.50 / 0.050 / 0.0050</w:t>
            </w:r>
          </w:p>
        </w:tc>
        <w:tc>
          <w:tcPr>
            <w:tcW w:w="2126" w:type="dxa"/>
            <w:shd w:val="clear" w:color="auto" w:fill="FFFFFF"/>
          </w:tcPr>
          <w:p w14:paraId="59D04BED"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2.00 / 20.0 / 200</w:t>
            </w:r>
          </w:p>
        </w:tc>
        <w:tc>
          <w:tcPr>
            <w:tcW w:w="1985" w:type="dxa"/>
            <w:shd w:val="clear" w:color="auto" w:fill="FFFFFF"/>
          </w:tcPr>
          <w:p w14:paraId="26FDB42B"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0.30 / 1.30 / 2.30</w:t>
            </w:r>
          </w:p>
        </w:tc>
      </w:tr>
      <w:tr w:rsidR="00E34781" w:rsidRPr="00E34781" w14:paraId="635F42EF" w14:textId="77777777" w:rsidTr="00420C5B">
        <w:tc>
          <w:tcPr>
            <w:tcW w:w="2268" w:type="dxa"/>
            <w:shd w:val="clear" w:color="auto" w:fill="FFFFFF"/>
          </w:tcPr>
          <w:p w14:paraId="00262F6C"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No check</w:t>
            </w:r>
          </w:p>
        </w:tc>
        <w:tc>
          <w:tcPr>
            <w:tcW w:w="2410" w:type="dxa"/>
            <w:shd w:val="clear" w:color="auto" w:fill="FFFFFF"/>
          </w:tcPr>
          <w:p w14:paraId="53F5EB38"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1</w:t>
            </w:r>
          </w:p>
        </w:tc>
        <w:tc>
          <w:tcPr>
            <w:tcW w:w="2126" w:type="dxa"/>
            <w:shd w:val="clear" w:color="auto" w:fill="FFFFFF"/>
          </w:tcPr>
          <w:p w14:paraId="1C4DAAE6"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1</w:t>
            </w:r>
          </w:p>
        </w:tc>
        <w:tc>
          <w:tcPr>
            <w:tcW w:w="1985" w:type="dxa"/>
            <w:shd w:val="clear" w:color="auto" w:fill="FFFFFF"/>
          </w:tcPr>
          <w:p w14:paraId="6AA1FC77"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w:t>
            </w:r>
          </w:p>
        </w:tc>
      </w:tr>
    </w:tbl>
    <w:p w14:paraId="5897C5A1" w14:textId="77777777" w:rsidR="00E34781" w:rsidRPr="00E34781" w:rsidRDefault="00E34781" w:rsidP="00E34781">
      <w:pPr>
        <w:rPr>
          <w:rFonts w:cs="Arial"/>
          <w:szCs w:val="18"/>
        </w:rPr>
      </w:pPr>
    </w:p>
    <w:p w14:paraId="5185A687" w14:textId="5D6BD95D" w:rsidR="00E34781" w:rsidRPr="00E34781" w:rsidRDefault="005A67D6" w:rsidP="00E34781">
      <w:pPr>
        <w:rPr>
          <w:rFonts w:cs="Arial"/>
          <w:szCs w:val="18"/>
        </w:rPr>
      </w:pPr>
      <w:r w:rsidRPr="00E34781">
        <w:rPr>
          <w:rFonts w:cs="Arial"/>
          <w:szCs w:val="18"/>
        </w:rPr>
        <w:t xml:space="preserve">The status of the barrier system determines the likelihood of the central event against which the barriers should prevent, and is therefore a suitable indicator. The preventive barrier indicator is the quotient of the current RRL and the required RRL. This is also called relative risk reduction expressed in a logarithm: RRRL. RRRL(t) = [RRL(t) / </w:t>
      </w:r>
      <w:proofErr w:type="spellStart"/>
      <w:r w:rsidRPr="00E34781">
        <w:rPr>
          <w:rFonts w:cs="Arial"/>
          <w:szCs w:val="18"/>
        </w:rPr>
        <w:t>RRL</w:t>
      </w:r>
      <w:r w:rsidRPr="00E34781">
        <w:rPr>
          <w:rFonts w:cs="Arial"/>
          <w:szCs w:val="18"/>
          <w:vertAlign w:val="subscript"/>
        </w:rPr>
        <w:t>required</w:t>
      </w:r>
      <w:proofErr w:type="spellEnd"/>
      <w:r w:rsidRPr="00E34781">
        <w:rPr>
          <w:rFonts w:cs="Arial"/>
          <w:szCs w:val="18"/>
        </w:rPr>
        <w:t>] x 100%.</w:t>
      </w:r>
      <w:r w:rsidR="00DA2A39">
        <w:rPr>
          <w:rFonts w:cs="Arial"/>
          <w:szCs w:val="18"/>
        </w:rPr>
        <w:t xml:space="preserve"> </w:t>
      </w:r>
      <w:r w:rsidR="00E34781" w:rsidRPr="00E34781">
        <w:rPr>
          <w:rFonts w:cs="Arial"/>
          <w:szCs w:val="18"/>
        </w:rPr>
        <w:t xml:space="preserve">Table 3 shows the outcome of the preventive barrier indicator representing the likelihood of the central event in four colours. This likelihood increases as the colour shifts from green to red. The boundaries are evenly distributed in this chapter and are set at 0%, 25%, 50%, 75% and 100%. For each of these classifications, management must determine how to respond and by whom. </w:t>
      </w:r>
    </w:p>
    <w:p w14:paraId="0F52583F" w14:textId="77777777" w:rsidR="00E34781" w:rsidRPr="00E34781" w:rsidRDefault="00E34781" w:rsidP="00E34781">
      <w:pPr>
        <w:spacing w:before="240" w:after="80"/>
        <w:rPr>
          <w:rFonts w:cs="Arial"/>
          <w:i/>
          <w:iCs/>
          <w:szCs w:val="18"/>
        </w:rPr>
      </w:pPr>
      <w:r w:rsidRPr="00E34781">
        <w:rPr>
          <w:rFonts w:cs="Arial"/>
          <w:i/>
          <w:iCs/>
          <w:szCs w:val="18"/>
        </w:rPr>
        <w:t>Table 3: The colour of the preventive barrier indicator related to the RRRL</w:t>
      </w:r>
    </w:p>
    <w:tbl>
      <w:tblPr>
        <w:tblW w:w="8931"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127"/>
        <w:gridCol w:w="1701"/>
        <w:gridCol w:w="1842"/>
        <w:gridCol w:w="1701"/>
        <w:gridCol w:w="1560"/>
      </w:tblGrid>
      <w:tr w:rsidR="00E34781" w:rsidRPr="00E34781" w14:paraId="4D1DBA62" w14:textId="77777777" w:rsidTr="00420C5B">
        <w:tc>
          <w:tcPr>
            <w:tcW w:w="2127" w:type="dxa"/>
            <w:tcBorders>
              <w:top w:val="single" w:sz="12" w:space="0" w:color="008000"/>
              <w:bottom w:val="single" w:sz="6" w:space="0" w:color="008000"/>
            </w:tcBorders>
            <w:shd w:val="clear" w:color="auto" w:fill="FFFFFF"/>
          </w:tcPr>
          <w:p w14:paraId="65101C23" w14:textId="77777777" w:rsidR="00E34781" w:rsidRPr="00E34781" w:rsidRDefault="00E34781" w:rsidP="00420C5B">
            <w:pPr>
              <w:pStyle w:val="CETBodytext"/>
              <w:rPr>
                <w:lang w:val="en-GB"/>
              </w:rPr>
            </w:pPr>
          </w:p>
        </w:tc>
        <w:tc>
          <w:tcPr>
            <w:tcW w:w="1701" w:type="dxa"/>
            <w:tcBorders>
              <w:top w:val="single" w:sz="12" w:space="0" w:color="008000"/>
              <w:bottom w:val="single" w:sz="6" w:space="0" w:color="008000"/>
            </w:tcBorders>
            <w:shd w:val="clear" w:color="auto" w:fill="FFFFFF"/>
          </w:tcPr>
          <w:p w14:paraId="36144DD9" w14:textId="77777777" w:rsidR="00E34781" w:rsidRPr="00E34781" w:rsidRDefault="00E34781" w:rsidP="00420C5B">
            <w:pPr>
              <w:pStyle w:val="CETBodytext"/>
              <w:rPr>
                <w:lang w:val="en-GB"/>
              </w:rPr>
            </w:pPr>
            <w:r w:rsidRPr="00E34781">
              <w:rPr>
                <w:lang w:val="en-GB"/>
              </w:rPr>
              <w:t>100%</w:t>
            </w:r>
          </w:p>
        </w:tc>
        <w:tc>
          <w:tcPr>
            <w:tcW w:w="1842" w:type="dxa"/>
            <w:tcBorders>
              <w:top w:val="single" w:sz="12" w:space="0" w:color="008000"/>
              <w:bottom w:val="single" w:sz="6" w:space="0" w:color="008000"/>
            </w:tcBorders>
            <w:shd w:val="clear" w:color="auto" w:fill="FFFFFF"/>
          </w:tcPr>
          <w:p w14:paraId="43FB3D39" w14:textId="77777777" w:rsidR="00E34781" w:rsidRPr="00E34781" w:rsidRDefault="00E34781" w:rsidP="00420C5B">
            <w:pPr>
              <w:pStyle w:val="CETBodytext"/>
              <w:rPr>
                <w:lang w:val="en-GB"/>
              </w:rPr>
            </w:pPr>
            <w:r w:rsidRPr="00E34781">
              <w:rPr>
                <w:lang w:val="en-GB"/>
              </w:rPr>
              <w:t>75%</w:t>
            </w:r>
          </w:p>
        </w:tc>
        <w:tc>
          <w:tcPr>
            <w:tcW w:w="1701" w:type="dxa"/>
            <w:tcBorders>
              <w:top w:val="single" w:sz="12" w:space="0" w:color="008000"/>
              <w:bottom w:val="single" w:sz="6" w:space="0" w:color="008000"/>
            </w:tcBorders>
            <w:shd w:val="clear" w:color="auto" w:fill="FFFFFF"/>
          </w:tcPr>
          <w:p w14:paraId="186880D0" w14:textId="77777777" w:rsidR="00E34781" w:rsidRPr="00E34781" w:rsidRDefault="00E34781" w:rsidP="00420C5B">
            <w:pPr>
              <w:pStyle w:val="CETBodytext"/>
              <w:ind w:right="-1"/>
              <w:rPr>
                <w:rFonts w:cs="Arial"/>
                <w:szCs w:val="18"/>
                <w:lang w:val="en-GB"/>
              </w:rPr>
            </w:pPr>
            <w:r w:rsidRPr="00E34781">
              <w:rPr>
                <w:rFonts w:cs="Arial"/>
                <w:szCs w:val="18"/>
                <w:lang w:val="en-GB"/>
              </w:rPr>
              <w:t>50%</w:t>
            </w:r>
          </w:p>
        </w:tc>
        <w:tc>
          <w:tcPr>
            <w:tcW w:w="1560" w:type="dxa"/>
            <w:tcBorders>
              <w:top w:val="single" w:sz="12" w:space="0" w:color="008000"/>
              <w:bottom w:val="single" w:sz="6" w:space="0" w:color="008000"/>
            </w:tcBorders>
            <w:shd w:val="clear" w:color="auto" w:fill="FFFFFF"/>
          </w:tcPr>
          <w:p w14:paraId="7C225B83" w14:textId="77777777" w:rsidR="00E34781" w:rsidRPr="00E34781" w:rsidRDefault="00E34781" w:rsidP="00420C5B">
            <w:pPr>
              <w:pStyle w:val="CETBodytext"/>
              <w:ind w:right="-1"/>
              <w:rPr>
                <w:rFonts w:cs="Arial"/>
                <w:szCs w:val="18"/>
                <w:lang w:val="en-GB"/>
              </w:rPr>
            </w:pPr>
            <w:r w:rsidRPr="00E34781">
              <w:rPr>
                <w:rFonts w:cs="Arial"/>
                <w:szCs w:val="18"/>
                <w:lang w:val="en-GB"/>
              </w:rPr>
              <w:t>25%                  0%</w:t>
            </w:r>
          </w:p>
        </w:tc>
      </w:tr>
      <w:tr w:rsidR="00E34781" w:rsidRPr="00E34781" w14:paraId="439B92BF" w14:textId="77777777" w:rsidTr="00420C5B">
        <w:tc>
          <w:tcPr>
            <w:tcW w:w="2127" w:type="dxa"/>
            <w:shd w:val="clear" w:color="auto" w:fill="FFFFFF"/>
          </w:tcPr>
          <w:p w14:paraId="08841CF1" w14:textId="77777777" w:rsidR="00E34781" w:rsidRPr="00E34781" w:rsidRDefault="00E34781" w:rsidP="00420C5B">
            <w:pPr>
              <w:pStyle w:val="CETBodytext"/>
              <w:rPr>
                <w:lang w:val="en-GB"/>
              </w:rPr>
            </w:pPr>
            <w:r w:rsidRPr="00E34781">
              <w:rPr>
                <w:lang w:val="en-GB"/>
              </w:rPr>
              <w:t>RRRL</w:t>
            </w:r>
          </w:p>
        </w:tc>
        <w:tc>
          <w:tcPr>
            <w:tcW w:w="1701" w:type="dxa"/>
            <w:shd w:val="clear" w:color="auto" w:fill="FFFFFF"/>
          </w:tcPr>
          <w:p w14:paraId="4F570D23" w14:textId="77777777" w:rsidR="00E34781" w:rsidRPr="00E34781" w:rsidRDefault="00E34781" w:rsidP="00420C5B">
            <w:pPr>
              <w:pStyle w:val="CETBodytext"/>
              <w:jc w:val="center"/>
              <w:rPr>
                <w:lang w:val="en-GB"/>
              </w:rPr>
            </w:pPr>
            <w:r w:rsidRPr="00E34781">
              <w:rPr>
                <w:rFonts w:cs="Arial"/>
                <w:szCs w:val="18"/>
                <w:lang w:val="en-GB"/>
              </w:rPr>
              <w:t>RRRL&gt;75%</w:t>
            </w:r>
          </w:p>
        </w:tc>
        <w:tc>
          <w:tcPr>
            <w:tcW w:w="1842" w:type="dxa"/>
            <w:shd w:val="clear" w:color="auto" w:fill="FFFFFF"/>
          </w:tcPr>
          <w:p w14:paraId="599FCB69" w14:textId="77777777" w:rsidR="00E34781" w:rsidRPr="00E34781" w:rsidRDefault="00E34781" w:rsidP="00420C5B">
            <w:pPr>
              <w:pStyle w:val="CETBodytext"/>
              <w:jc w:val="center"/>
              <w:rPr>
                <w:lang w:val="en-GB"/>
              </w:rPr>
            </w:pPr>
            <w:r w:rsidRPr="00E34781">
              <w:rPr>
                <w:rFonts w:cs="Arial"/>
                <w:szCs w:val="18"/>
                <w:lang w:val="en-GB"/>
              </w:rPr>
              <w:t>50%&lt; RRRL ≤75%</w:t>
            </w:r>
          </w:p>
        </w:tc>
        <w:tc>
          <w:tcPr>
            <w:tcW w:w="1701" w:type="dxa"/>
            <w:shd w:val="clear" w:color="auto" w:fill="FFFFFF"/>
          </w:tcPr>
          <w:p w14:paraId="624B50DC"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25%&lt;RRRL≤50%</w:t>
            </w:r>
          </w:p>
        </w:tc>
        <w:tc>
          <w:tcPr>
            <w:tcW w:w="1560" w:type="dxa"/>
            <w:shd w:val="clear" w:color="auto" w:fill="FFFFFF"/>
          </w:tcPr>
          <w:p w14:paraId="7E6A0054"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RRRL≤25%</w:t>
            </w:r>
          </w:p>
        </w:tc>
      </w:tr>
      <w:tr w:rsidR="00E34781" w:rsidRPr="00E34781" w14:paraId="21D967BC" w14:textId="77777777" w:rsidTr="00420C5B">
        <w:tc>
          <w:tcPr>
            <w:tcW w:w="2127" w:type="dxa"/>
            <w:shd w:val="clear" w:color="auto" w:fill="FFFFFF"/>
          </w:tcPr>
          <w:p w14:paraId="42598985" w14:textId="77777777" w:rsidR="00E34781" w:rsidRPr="00E34781" w:rsidRDefault="00E34781" w:rsidP="00420C5B">
            <w:pPr>
              <w:pStyle w:val="CETBodytext"/>
              <w:ind w:right="-1"/>
              <w:rPr>
                <w:rFonts w:cs="Arial"/>
                <w:szCs w:val="18"/>
                <w:lang w:val="en-GB"/>
              </w:rPr>
            </w:pPr>
            <w:r w:rsidRPr="00E34781">
              <w:rPr>
                <w:rFonts w:cs="Arial"/>
                <w:szCs w:val="18"/>
                <w:lang w:val="en-GB"/>
              </w:rPr>
              <w:t>Preventive barrier indicator</w:t>
            </w:r>
          </w:p>
        </w:tc>
        <w:tc>
          <w:tcPr>
            <w:tcW w:w="1701" w:type="dxa"/>
            <w:shd w:val="clear" w:color="auto" w:fill="00B050"/>
          </w:tcPr>
          <w:p w14:paraId="7FFD8EE0" w14:textId="77777777" w:rsidR="00E34781" w:rsidRPr="00E34781" w:rsidRDefault="00E34781" w:rsidP="00420C5B">
            <w:pPr>
              <w:pStyle w:val="CETBodytext"/>
              <w:ind w:right="-1"/>
              <w:jc w:val="center"/>
              <w:rPr>
                <w:rFonts w:cs="Arial"/>
                <w:color w:val="FFFFFF" w:themeColor="background1"/>
                <w:szCs w:val="18"/>
                <w:lang w:val="en-GB"/>
              </w:rPr>
            </w:pPr>
            <w:r w:rsidRPr="00E34781">
              <w:rPr>
                <w:rFonts w:cs="Arial"/>
                <w:szCs w:val="18"/>
                <w:lang w:val="en-GB"/>
              </w:rPr>
              <w:t>green</w:t>
            </w:r>
          </w:p>
        </w:tc>
        <w:tc>
          <w:tcPr>
            <w:tcW w:w="1842" w:type="dxa"/>
            <w:shd w:val="clear" w:color="auto" w:fill="FFFF00"/>
          </w:tcPr>
          <w:p w14:paraId="3D5F263B"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yellow</w:t>
            </w:r>
          </w:p>
        </w:tc>
        <w:tc>
          <w:tcPr>
            <w:tcW w:w="1701" w:type="dxa"/>
            <w:shd w:val="clear" w:color="auto" w:fill="FFC000"/>
          </w:tcPr>
          <w:p w14:paraId="064A6CD8"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orange</w:t>
            </w:r>
          </w:p>
        </w:tc>
        <w:tc>
          <w:tcPr>
            <w:tcW w:w="1560" w:type="dxa"/>
            <w:shd w:val="clear" w:color="auto" w:fill="FF0000"/>
          </w:tcPr>
          <w:p w14:paraId="703E51EA" w14:textId="77777777" w:rsidR="00E34781" w:rsidRPr="00E34781" w:rsidRDefault="00E34781" w:rsidP="00420C5B">
            <w:pPr>
              <w:pStyle w:val="CETBodytext"/>
              <w:ind w:right="-1"/>
              <w:jc w:val="center"/>
              <w:rPr>
                <w:rFonts w:cs="Arial"/>
                <w:szCs w:val="18"/>
                <w:lang w:val="en-GB"/>
              </w:rPr>
            </w:pPr>
            <w:r w:rsidRPr="00E34781">
              <w:rPr>
                <w:rFonts w:cs="Arial"/>
                <w:color w:val="FFFFFF" w:themeColor="background1"/>
                <w:szCs w:val="18"/>
                <w:lang w:val="en-GB"/>
              </w:rPr>
              <w:t>red</w:t>
            </w:r>
          </w:p>
        </w:tc>
      </w:tr>
    </w:tbl>
    <w:p w14:paraId="2C6D562A" w14:textId="77777777" w:rsidR="00E34781" w:rsidRPr="00E34781" w:rsidRDefault="00E34781" w:rsidP="00E34781">
      <w:pPr>
        <w:rPr>
          <w:rFonts w:cs="Arial"/>
          <w:szCs w:val="18"/>
        </w:rPr>
      </w:pPr>
    </w:p>
    <w:p w14:paraId="798F4BF1" w14:textId="47CDFE02" w:rsidR="00E34781" w:rsidRPr="00E34781" w:rsidRDefault="00E34781" w:rsidP="00E34781">
      <w:pPr>
        <w:rPr>
          <w:rFonts w:cs="Arial"/>
          <w:szCs w:val="18"/>
        </w:rPr>
      </w:pPr>
      <w:r w:rsidRPr="00E34781">
        <w:rPr>
          <w:rFonts w:cs="Arial"/>
          <w:szCs w:val="18"/>
        </w:rPr>
        <w:t xml:space="preserve">The preventive barrier indicator, RRRL, can be determined not only from the trustworthiness of the barrier system, but also from its activation and how many barriers still protect against the central event. The calculation of the RRRL can be applied in the same way here: RRRL(t) = [RRL(t) / </w:t>
      </w:r>
      <w:proofErr w:type="spellStart"/>
      <w:r w:rsidRPr="00E34781">
        <w:rPr>
          <w:rFonts w:cs="Arial"/>
          <w:szCs w:val="18"/>
        </w:rPr>
        <w:t>RRL</w:t>
      </w:r>
      <w:r w:rsidRPr="00E34781">
        <w:rPr>
          <w:rFonts w:cs="Arial"/>
          <w:szCs w:val="18"/>
          <w:vertAlign w:val="subscript"/>
        </w:rPr>
        <w:t>required</w:t>
      </w:r>
      <w:proofErr w:type="spellEnd"/>
      <w:r w:rsidRPr="00E34781">
        <w:rPr>
          <w:rFonts w:cs="Arial"/>
          <w:szCs w:val="18"/>
        </w:rPr>
        <w:t xml:space="preserve">] x 100%, where RRL(t) is the risk reduction expressed in Briggs logarithm of the (remaining) barrier system to the central event. The RRRL shows the current risk reduction compared to what it should be according to design and has thus become a (relative) measure for the loss of quality of the barrier system. Figure </w:t>
      </w:r>
      <w:r w:rsidR="000B7474">
        <w:rPr>
          <w:rFonts w:cs="Arial"/>
          <w:szCs w:val="18"/>
        </w:rPr>
        <w:t>2</w:t>
      </w:r>
      <w:r w:rsidRPr="00E34781">
        <w:rPr>
          <w:rFonts w:cs="Arial"/>
          <w:szCs w:val="18"/>
        </w:rPr>
        <w:t xml:space="preserve"> shows a barrier system of a total RRL of 3. The barrier system is always located on the left-hand side of the bowtie and consists of preventive barriers. This example represents for instance a high-pressure scenario, which is equipped with a SIL 1 qualified, instrumental safeguard and a (mechanical) safety valve.</w:t>
      </w:r>
    </w:p>
    <w:p w14:paraId="753C005C" w14:textId="77777777" w:rsidR="00E34781" w:rsidRPr="00E34781" w:rsidRDefault="00E34781" w:rsidP="00E34781">
      <w:pPr>
        <w:jc w:val="center"/>
        <w:rPr>
          <w:rFonts w:cs="Arial"/>
          <w:szCs w:val="18"/>
        </w:rPr>
      </w:pPr>
      <w:r w:rsidRPr="00E34781">
        <w:rPr>
          <w:rFonts w:cs="Arial"/>
          <w:noProof/>
          <w:szCs w:val="18"/>
        </w:rPr>
        <w:drawing>
          <wp:inline distT="0" distB="0" distL="0" distR="0" wp14:anchorId="420DAAE7" wp14:editId="2D13C3BE">
            <wp:extent cx="5165986" cy="1191491"/>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682" t="7632" r="2122"/>
                    <a:stretch/>
                  </pic:blipFill>
                  <pic:spPr bwMode="auto">
                    <a:xfrm>
                      <a:off x="0" y="0"/>
                      <a:ext cx="5295728" cy="1221415"/>
                    </a:xfrm>
                    <a:prstGeom prst="rect">
                      <a:avLst/>
                    </a:prstGeom>
                    <a:noFill/>
                    <a:ln>
                      <a:noFill/>
                    </a:ln>
                    <a:extLst>
                      <a:ext uri="{53640926-AAD7-44D8-BBD7-CCE9431645EC}">
                        <a14:shadowObscured xmlns:a14="http://schemas.microsoft.com/office/drawing/2010/main"/>
                      </a:ext>
                    </a:extLst>
                  </pic:spPr>
                </pic:pic>
              </a:graphicData>
            </a:graphic>
          </wp:inline>
        </w:drawing>
      </w:r>
    </w:p>
    <w:p w14:paraId="19E6C44F" w14:textId="097D4503" w:rsidR="00E34781" w:rsidRPr="00E34781" w:rsidRDefault="00E34781" w:rsidP="00E34781">
      <w:pPr>
        <w:spacing w:before="240" w:after="240"/>
        <w:jc w:val="center"/>
        <w:rPr>
          <w:rFonts w:cs="Arial"/>
          <w:i/>
          <w:iCs/>
          <w:szCs w:val="18"/>
        </w:rPr>
      </w:pPr>
      <w:r w:rsidRPr="00E34781">
        <w:rPr>
          <w:rFonts w:cs="Arial"/>
          <w:i/>
          <w:iCs/>
          <w:szCs w:val="18"/>
        </w:rPr>
        <w:t xml:space="preserve">Figure </w:t>
      </w:r>
      <w:r w:rsidR="000B7474">
        <w:rPr>
          <w:rFonts w:cs="Arial"/>
          <w:i/>
          <w:iCs/>
          <w:szCs w:val="18"/>
        </w:rPr>
        <w:t>2</w:t>
      </w:r>
      <w:r w:rsidRPr="00E34781">
        <w:rPr>
          <w:rFonts w:cs="Arial"/>
          <w:i/>
          <w:iCs/>
          <w:szCs w:val="18"/>
        </w:rPr>
        <w:t xml:space="preserve">: </w:t>
      </w:r>
      <w:r w:rsidR="009C7DF7">
        <w:rPr>
          <w:rFonts w:cs="Arial"/>
          <w:i/>
          <w:iCs/>
          <w:szCs w:val="18"/>
        </w:rPr>
        <w:t>A</w:t>
      </w:r>
      <w:r w:rsidRPr="00E34781">
        <w:rPr>
          <w:rFonts w:cs="Arial"/>
          <w:i/>
          <w:iCs/>
          <w:szCs w:val="18"/>
        </w:rPr>
        <w:t xml:space="preserve"> scenario protected by two independent barriers with an RRL of 1 resp. 2</w:t>
      </w:r>
    </w:p>
    <w:p w14:paraId="683FB7D0" w14:textId="2383F69B" w:rsidR="004B4B7B" w:rsidRDefault="00E34781" w:rsidP="004B4B7B">
      <w:pPr>
        <w:rPr>
          <w:rFonts w:cs="Arial"/>
          <w:szCs w:val="18"/>
        </w:rPr>
      </w:pPr>
      <w:r w:rsidRPr="00E34781">
        <w:rPr>
          <w:rFonts w:cs="Arial"/>
          <w:szCs w:val="18"/>
        </w:rPr>
        <w:t xml:space="preserve">Table 4 shows the RRL, the RRRL and the preventive barrier indicator related to the status of the two barriers. The two barriers differ in designed RRLs, which results in different RRRLs and preventive barrier indicator colours. </w:t>
      </w:r>
      <w:r w:rsidR="004B4B7B" w:rsidRPr="00E34781">
        <w:rPr>
          <w:rFonts w:cs="Arial"/>
          <w:szCs w:val="18"/>
        </w:rPr>
        <w:t xml:space="preserve">In the process industry instrumental safeguards are used which do not have a SIL qualification as described in IEC 61511 (IEC, 2016). Four SIL levels are specified in this European standard, with SIL 4 as the highest and SIL 1 as the lowest level. However, “SIL a” qualified SIFs (Safety Instrumented Function) are often also part of a barrier system, but do not meet a SIL level as defined by IEC 61511. According to this standard, SIL a qualified SIFs are not subject to any special safety requirements. In this study it is assumed that a SIF with a SIL a qualification has an RRL of (minimum) 0.5. This means, for example, that two independent serial SIL a SIFs have a total RRL of 1 and can be equated to one SIL 1 SIF. A SIL a SIF which is possibly not trustworthy has an RRL equal to 0.2. </w:t>
      </w:r>
    </w:p>
    <w:p w14:paraId="18986B42" w14:textId="183A53B1" w:rsidR="004B4B7B" w:rsidRDefault="004B4B7B" w:rsidP="004B4B7B">
      <w:pPr>
        <w:rPr>
          <w:rFonts w:cs="Arial"/>
          <w:szCs w:val="18"/>
        </w:rPr>
      </w:pPr>
    </w:p>
    <w:p w14:paraId="0E0E08ED" w14:textId="77777777" w:rsidR="004B4B7B" w:rsidRPr="00E34781" w:rsidRDefault="004B4B7B" w:rsidP="004B4B7B">
      <w:pPr>
        <w:rPr>
          <w:rFonts w:cs="Arial"/>
          <w:szCs w:val="18"/>
        </w:rPr>
      </w:pPr>
    </w:p>
    <w:p w14:paraId="35D32F2B" w14:textId="6F7BA005" w:rsidR="00E34781" w:rsidRPr="00E34781" w:rsidRDefault="00E34781" w:rsidP="00E34781">
      <w:pPr>
        <w:rPr>
          <w:rFonts w:cs="Arial"/>
          <w:szCs w:val="18"/>
        </w:rPr>
      </w:pPr>
    </w:p>
    <w:p w14:paraId="07BC9D44" w14:textId="77777777" w:rsidR="00E34781" w:rsidRPr="00E34781" w:rsidRDefault="00E34781" w:rsidP="00E34781">
      <w:pPr>
        <w:spacing w:before="240" w:after="60"/>
        <w:rPr>
          <w:rFonts w:cs="Arial"/>
          <w:i/>
          <w:iCs/>
          <w:szCs w:val="18"/>
        </w:rPr>
      </w:pPr>
      <w:r w:rsidRPr="00E34781">
        <w:rPr>
          <w:rFonts w:cs="Arial"/>
          <w:i/>
          <w:iCs/>
          <w:szCs w:val="18"/>
        </w:rPr>
        <w:lastRenderedPageBreak/>
        <w:t>Table 4: Preventive barrier indicator of a barrier system consisting of two barriers with an RRL of 1 resp. 2</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59"/>
        <w:gridCol w:w="1985"/>
        <w:gridCol w:w="1559"/>
        <w:gridCol w:w="1134"/>
        <w:gridCol w:w="2552"/>
      </w:tblGrid>
      <w:tr w:rsidR="00E34781" w:rsidRPr="00E34781" w14:paraId="292AD668" w14:textId="77777777" w:rsidTr="00420C5B">
        <w:tc>
          <w:tcPr>
            <w:tcW w:w="1559" w:type="dxa"/>
            <w:tcBorders>
              <w:top w:val="single" w:sz="12" w:space="0" w:color="008000"/>
              <w:bottom w:val="single" w:sz="6" w:space="0" w:color="008000"/>
            </w:tcBorders>
            <w:shd w:val="clear" w:color="auto" w:fill="FFFFFF"/>
          </w:tcPr>
          <w:p w14:paraId="69E9ED54" w14:textId="77777777" w:rsidR="00E34781" w:rsidRPr="00E34781" w:rsidRDefault="00E34781" w:rsidP="00420C5B">
            <w:pPr>
              <w:pStyle w:val="CETBodytext"/>
              <w:jc w:val="center"/>
              <w:rPr>
                <w:lang w:val="en-GB"/>
              </w:rPr>
            </w:pPr>
            <w:r w:rsidRPr="00E34781">
              <w:rPr>
                <w:lang w:val="en-GB"/>
              </w:rPr>
              <w:t>Barrier 1</w:t>
            </w:r>
          </w:p>
        </w:tc>
        <w:tc>
          <w:tcPr>
            <w:tcW w:w="1985" w:type="dxa"/>
            <w:tcBorders>
              <w:top w:val="single" w:sz="12" w:space="0" w:color="008000"/>
              <w:bottom w:val="single" w:sz="6" w:space="0" w:color="008000"/>
            </w:tcBorders>
            <w:shd w:val="clear" w:color="auto" w:fill="FFFFFF"/>
          </w:tcPr>
          <w:p w14:paraId="4E428F20" w14:textId="77777777" w:rsidR="00E34781" w:rsidRPr="00E34781" w:rsidRDefault="00E34781" w:rsidP="00420C5B">
            <w:pPr>
              <w:pStyle w:val="CETBodytext"/>
              <w:jc w:val="center"/>
              <w:rPr>
                <w:lang w:val="en-GB"/>
              </w:rPr>
            </w:pPr>
            <w:r w:rsidRPr="00E34781">
              <w:rPr>
                <w:lang w:val="en-GB"/>
              </w:rPr>
              <w:t>Barrier 2</w:t>
            </w:r>
          </w:p>
        </w:tc>
        <w:tc>
          <w:tcPr>
            <w:tcW w:w="1559" w:type="dxa"/>
            <w:tcBorders>
              <w:top w:val="single" w:sz="12" w:space="0" w:color="008000"/>
              <w:bottom w:val="single" w:sz="6" w:space="0" w:color="008000"/>
            </w:tcBorders>
            <w:shd w:val="clear" w:color="auto" w:fill="FFFFFF"/>
          </w:tcPr>
          <w:p w14:paraId="6A798FC5" w14:textId="77777777" w:rsidR="00E34781" w:rsidRPr="00E34781" w:rsidRDefault="00E34781" w:rsidP="00420C5B">
            <w:pPr>
              <w:pStyle w:val="CETBodytext"/>
              <w:jc w:val="center"/>
              <w:rPr>
                <w:lang w:val="en-GB"/>
              </w:rPr>
            </w:pPr>
            <w:r w:rsidRPr="00E34781">
              <w:rPr>
                <w:lang w:val="en-GB"/>
              </w:rPr>
              <w:t>RRL</w:t>
            </w:r>
          </w:p>
        </w:tc>
        <w:tc>
          <w:tcPr>
            <w:tcW w:w="1134" w:type="dxa"/>
            <w:tcBorders>
              <w:top w:val="single" w:sz="12" w:space="0" w:color="008000"/>
              <w:bottom w:val="single" w:sz="6" w:space="0" w:color="008000"/>
            </w:tcBorders>
            <w:shd w:val="clear" w:color="auto" w:fill="FFFFFF"/>
          </w:tcPr>
          <w:p w14:paraId="548D6DE7"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RRRL</w:t>
            </w:r>
          </w:p>
        </w:tc>
        <w:tc>
          <w:tcPr>
            <w:tcW w:w="2552" w:type="dxa"/>
            <w:tcBorders>
              <w:top w:val="single" w:sz="12" w:space="0" w:color="008000"/>
              <w:bottom w:val="single" w:sz="6" w:space="0" w:color="008000"/>
            </w:tcBorders>
            <w:shd w:val="clear" w:color="auto" w:fill="FFFFFF"/>
          </w:tcPr>
          <w:p w14:paraId="50BE21FD"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Preventive barrier indicator</w:t>
            </w:r>
          </w:p>
        </w:tc>
      </w:tr>
      <w:tr w:rsidR="00E34781" w:rsidRPr="00E34781" w14:paraId="0A61680B" w14:textId="77777777" w:rsidTr="00420C5B">
        <w:tc>
          <w:tcPr>
            <w:tcW w:w="1559" w:type="dxa"/>
            <w:vAlign w:val="center"/>
          </w:tcPr>
          <w:p w14:paraId="6B70120B" w14:textId="77777777" w:rsidR="00E34781" w:rsidRPr="00E34781" w:rsidRDefault="00E34781" w:rsidP="00420C5B">
            <w:pPr>
              <w:pStyle w:val="CETBodytext"/>
              <w:jc w:val="center"/>
              <w:rPr>
                <w:lang w:val="en-GB"/>
              </w:rPr>
            </w:pPr>
            <w:r w:rsidRPr="00E34781">
              <w:rPr>
                <w:rFonts w:cs="Arial"/>
                <w:szCs w:val="18"/>
                <w:lang w:val="en-GB"/>
              </w:rPr>
              <w:t>V</w:t>
            </w:r>
          </w:p>
        </w:tc>
        <w:tc>
          <w:tcPr>
            <w:tcW w:w="1985" w:type="dxa"/>
            <w:vAlign w:val="center"/>
          </w:tcPr>
          <w:p w14:paraId="45712E07" w14:textId="77777777" w:rsidR="00E34781" w:rsidRPr="00E34781" w:rsidRDefault="00E34781" w:rsidP="00420C5B">
            <w:pPr>
              <w:pStyle w:val="CETBodytext"/>
              <w:jc w:val="center"/>
              <w:rPr>
                <w:lang w:val="en-GB"/>
              </w:rPr>
            </w:pPr>
            <w:r w:rsidRPr="00E34781">
              <w:rPr>
                <w:rFonts w:cs="Arial"/>
                <w:szCs w:val="18"/>
                <w:lang w:val="en-GB"/>
              </w:rPr>
              <w:t>V</w:t>
            </w:r>
          </w:p>
        </w:tc>
        <w:tc>
          <w:tcPr>
            <w:tcW w:w="1559" w:type="dxa"/>
            <w:shd w:val="clear" w:color="auto" w:fill="auto"/>
            <w:vAlign w:val="center"/>
          </w:tcPr>
          <w:p w14:paraId="21FF8A1A" w14:textId="77777777" w:rsidR="00E34781" w:rsidRPr="00E34781" w:rsidRDefault="00E34781" w:rsidP="00420C5B">
            <w:pPr>
              <w:pStyle w:val="CETBodytext"/>
              <w:jc w:val="center"/>
              <w:rPr>
                <w:lang w:val="en-GB"/>
              </w:rPr>
            </w:pPr>
            <w:r w:rsidRPr="00E34781">
              <w:rPr>
                <w:rFonts w:cs="Arial"/>
                <w:szCs w:val="18"/>
                <w:lang w:val="en-GB"/>
              </w:rPr>
              <w:t>3</w:t>
            </w:r>
          </w:p>
        </w:tc>
        <w:tc>
          <w:tcPr>
            <w:tcW w:w="1134" w:type="dxa"/>
            <w:shd w:val="clear" w:color="auto" w:fill="auto"/>
            <w:vAlign w:val="center"/>
          </w:tcPr>
          <w:p w14:paraId="6361CCD4"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100%</w:t>
            </w:r>
          </w:p>
        </w:tc>
        <w:tc>
          <w:tcPr>
            <w:tcW w:w="2552" w:type="dxa"/>
            <w:shd w:val="clear" w:color="auto" w:fill="92D050"/>
            <w:vAlign w:val="center"/>
          </w:tcPr>
          <w:p w14:paraId="39FBC27F"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Green</w:t>
            </w:r>
          </w:p>
        </w:tc>
      </w:tr>
      <w:tr w:rsidR="00E34781" w:rsidRPr="00E34781" w14:paraId="32FEFC87" w14:textId="77777777" w:rsidTr="00420C5B">
        <w:tc>
          <w:tcPr>
            <w:tcW w:w="1559" w:type="dxa"/>
            <w:vAlign w:val="center"/>
          </w:tcPr>
          <w:p w14:paraId="55E122AB"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V</w:t>
            </w:r>
          </w:p>
        </w:tc>
        <w:tc>
          <w:tcPr>
            <w:tcW w:w="1985" w:type="dxa"/>
            <w:shd w:val="clear" w:color="auto" w:fill="D9D9D9" w:themeFill="background1" w:themeFillShade="D9"/>
            <w:vAlign w:val="center"/>
          </w:tcPr>
          <w:p w14:paraId="38FBEE8F"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c>
          <w:tcPr>
            <w:tcW w:w="1559" w:type="dxa"/>
            <w:shd w:val="clear" w:color="auto" w:fill="auto"/>
            <w:vAlign w:val="center"/>
          </w:tcPr>
          <w:p w14:paraId="33FBC821"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2.70</w:t>
            </w:r>
          </w:p>
        </w:tc>
        <w:tc>
          <w:tcPr>
            <w:tcW w:w="1134" w:type="dxa"/>
            <w:shd w:val="clear" w:color="auto" w:fill="auto"/>
            <w:vAlign w:val="center"/>
          </w:tcPr>
          <w:p w14:paraId="5D396E35"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90%</w:t>
            </w:r>
          </w:p>
        </w:tc>
        <w:tc>
          <w:tcPr>
            <w:tcW w:w="2552" w:type="dxa"/>
            <w:shd w:val="clear" w:color="auto" w:fill="92D050"/>
            <w:vAlign w:val="center"/>
          </w:tcPr>
          <w:p w14:paraId="7F45C762"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Green</w:t>
            </w:r>
          </w:p>
        </w:tc>
      </w:tr>
      <w:tr w:rsidR="00E34781" w:rsidRPr="00E34781" w14:paraId="6DC95022" w14:textId="77777777" w:rsidTr="00420C5B">
        <w:tc>
          <w:tcPr>
            <w:tcW w:w="1559" w:type="dxa"/>
            <w:vAlign w:val="center"/>
          </w:tcPr>
          <w:p w14:paraId="7B2A9FAE"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V</w:t>
            </w:r>
          </w:p>
        </w:tc>
        <w:tc>
          <w:tcPr>
            <w:tcW w:w="1985" w:type="dxa"/>
            <w:shd w:val="clear" w:color="auto" w:fill="808080" w:themeFill="background1" w:themeFillShade="80"/>
            <w:vAlign w:val="center"/>
          </w:tcPr>
          <w:p w14:paraId="2D3CD1D8"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Θ</w:t>
            </w:r>
          </w:p>
        </w:tc>
        <w:tc>
          <w:tcPr>
            <w:tcW w:w="1559" w:type="dxa"/>
            <w:shd w:val="clear" w:color="auto" w:fill="auto"/>
            <w:vAlign w:val="center"/>
          </w:tcPr>
          <w:p w14:paraId="114B1A39"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1</w:t>
            </w:r>
          </w:p>
        </w:tc>
        <w:tc>
          <w:tcPr>
            <w:tcW w:w="1134" w:type="dxa"/>
            <w:shd w:val="clear" w:color="auto" w:fill="auto"/>
            <w:vAlign w:val="center"/>
          </w:tcPr>
          <w:p w14:paraId="0939AC84"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33%</w:t>
            </w:r>
          </w:p>
        </w:tc>
        <w:tc>
          <w:tcPr>
            <w:tcW w:w="2552" w:type="dxa"/>
            <w:shd w:val="clear" w:color="auto" w:fill="FFC000"/>
            <w:vAlign w:val="center"/>
          </w:tcPr>
          <w:p w14:paraId="049BF316"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Orange</w:t>
            </w:r>
          </w:p>
        </w:tc>
      </w:tr>
      <w:tr w:rsidR="00E34781" w:rsidRPr="00E34781" w14:paraId="362A1542" w14:textId="77777777" w:rsidTr="00420C5B">
        <w:tc>
          <w:tcPr>
            <w:tcW w:w="1559" w:type="dxa"/>
            <w:shd w:val="clear" w:color="auto" w:fill="D9D9D9" w:themeFill="background1" w:themeFillShade="D9"/>
            <w:vAlign w:val="center"/>
          </w:tcPr>
          <w:p w14:paraId="5F140A95"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c>
          <w:tcPr>
            <w:tcW w:w="1985" w:type="dxa"/>
            <w:vAlign w:val="center"/>
          </w:tcPr>
          <w:p w14:paraId="1EE6D511"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V</w:t>
            </w:r>
          </w:p>
        </w:tc>
        <w:tc>
          <w:tcPr>
            <w:tcW w:w="1559" w:type="dxa"/>
            <w:shd w:val="clear" w:color="auto" w:fill="auto"/>
            <w:vAlign w:val="center"/>
          </w:tcPr>
          <w:p w14:paraId="1888A5F9"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2.70</w:t>
            </w:r>
          </w:p>
        </w:tc>
        <w:tc>
          <w:tcPr>
            <w:tcW w:w="1134" w:type="dxa"/>
            <w:shd w:val="clear" w:color="auto" w:fill="auto"/>
            <w:vAlign w:val="center"/>
          </w:tcPr>
          <w:p w14:paraId="4D540F28"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90%</w:t>
            </w:r>
          </w:p>
        </w:tc>
        <w:tc>
          <w:tcPr>
            <w:tcW w:w="2552" w:type="dxa"/>
            <w:shd w:val="clear" w:color="auto" w:fill="92D050"/>
            <w:vAlign w:val="center"/>
          </w:tcPr>
          <w:p w14:paraId="2CD6593C"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Green</w:t>
            </w:r>
          </w:p>
        </w:tc>
      </w:tr>
      <w:tr w:rsidR="00E34781" w:rsidRPr="00E34781" w14:paraId="4D9AA3F9" w14:textId="77777777" w:rsidTr="00420C5B">
        <w:tc>
          <w:tcPr>
            <w:tcW w:w="1559" w:type="dxa"/>
            <w:shd w:val="clear" w:color="auto" w:fill="D9D9D9" w:themeFill="background1" w:themeFillShade="D9"/>
            <w:vAlign w:val="center"/>
          </w:tcPr>
          <w:p w14:paraId="077E633D"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c>
          <w:tcPr>
            <w:tcW w:w="1985" w:type="dxa"/>
            <w:shd w:val="clear" w:color="auto" w:fill="D9D9D9" w:themeFill="background1" w:themeFillShade="D9"/>
            <w:vAlign w:val="center"/>
          </w:tcPr>
          <w:p w14:paraId="16B1E1F8"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c>
          <w:tcPr>
            <w:tcW w:w="1559" w:type="dxa"/>
            <w:shd w:val="clear" w:color="auto" w:fill="auto"/>
            <w:vAlign w:val="center"/>
          </w:tcPr>
          <w:p w14:paraId="4136B385"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2.40</w:t>
            </w:r>
          </w:p>
        </w:tc>
        <w:tc>
          <w:tcPr>
            <w:tcW w:w="1134" w:type="dxa"/>
            <w:shd w:val="clear" w:color="auto" w:fill="auto"/>
            <w:vAlign w:val="center"/>
          </w:tcPr>
          <w:p w14:paraId="6A91D9A5"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80%</w:t>
            </w:r>
          </w:p>
        </w:tc>
        <w:tc>
          <w:tcPr>
            <w:tcW w:w="2552" w:type="dxa"/>
            <w:shd w:val="clear" w:color="auto" w:fill="92D050"/>
            <w:vAlign w:val="center"/>
          </w:tcPr>
          <w:p w14:paraId="78577118"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Green</w:t>
            </w:r>
          </w:p>
        </w:tc>
      </w:tr>
      <w:tr w:rsidR="00E34781" w:rsidRPr="00E34781" w14:paraId="72A3BB2E" w14:textId="77777777" w:rsidTr="00420C5B">
        <w:tc>
          <w:tcPr>
            <w:tcW w:w="1559" w:type="dxa"/>
            <w:shd w:val="clear" w:color="auto" w:fill="D9D9D9" w:themeFill="background1" w:themeFillShade="D9"/>
            <w:vAlign w:val="center"/>
          </w:tcPr>
          <w:p w14:paraId="409163D8"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c>
          <w:tcPr>
            <w:tcW w:w="1985" w:type="dxa"/>
            <w:shd w:val="clear" w:color="auto" w:fill="808080" w:themeFill="background1" w:themeFillShade="80"/>
            <w:vAlign w:val="center"/>
          </w:tcPr>
          <w:p w14:paraId="24B02DE3"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Θ</w:t>
            </w:r>
          </w:p>
        </w:tc>
        <w:tc>
          <w:tcPr>
            <w:tcW w:w="1559" w:type="dxa"/>
            <w:shd w:val="clear" w:color="auto" w:fill="auto"/>
            <w:vAlign w:val="center"/>
          </w:tcPr>
          <w:p w14:paraId="15DD1DD5"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0.70</w:t>
            </w:r>
          </w:p>
        </w:tc>
        <w:tc>
          <w:tcPr>
            <w:tcW w:w="1134" w:type="dxa"/>
            <w:shd w:val="clear" w:color="auto" w:fill="auto"/>
            <w:vAlign w:val="center"/>
          </w:tcPr>
          <w:p w14:paraId="5ECE28FA"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23%</w:t>
            </w:r>
          </w:p>
        </w:tc>
        <w:tc>
          <w:tcPr>
            <w:tcW w:w="2552" w:type="dxa"/>
            <w:shd w:val="clear" w:color="auto" w:fill="FF0000"/>
            <w:vAlign w:val="center"/>
          </w:tcPr>
          <w:p w14:paraId="2606EC4B" w14:textId="77777777" w:rsidR="00E34781" w:rsidRPr="00E34781" w:rsidRDefault="00E34781" w:rsidP="00420C5B">
            <w:pPr>
              <w:pStyle w:val="CETBodytext"/>
              <w:ind w:right="-1"/>
              <w:jc w:val="center"/>
              <w:rPr>
                <w:rFonts w:cs="Arial"/>
                <w:szCs w:val="18"/>
                <w:lang w:val="en-GB"/>
              </w:rPr>
            </w:pPr>
            <w:r w:rsidRPr="00E34781">
              <w:rPr>
                <w:rFonts w:cs="Arial"/>
                <w:color w:val="FFFFFF" w:themeColor="background1"/>
                <w:szCs w:val="18"/>
                <w:lang w:val="en-GB"/>
              </w:rPr>
              <w:t>Red</w:t>
            </w:r>
          </w:p>
        </w:tc>
      </w:tr>
      <w:tr w:rsidR="00E34781" w:rsidRPr="00E34781" w14:paraId="538ACB5C" w14:textId="77777777" w:rsidTr="00420C5B">
        <w:tc>
          <w:tcPr>
            <w:tcW w:w="1559" w:type="dxa"/>
            <w:shd w:val="clear" w:color="auto" w:fill="808080" w:themeFill="background1" w:themeFillShade="80"/>
            <w:vAlign w:val="center"/>
          </w:tcPr>
          <w:p w14:paraId="0E50CDEC"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Θ</w:t>
            </w:r>
          </w:p>
        </w:tc>
        <w:tc>
          <w:tcPr>
            <w:tcW w:w="1985" w:type="dxa"/>
            <w:vAlign w:val="center"/>
          </w:tcPr>
          <w:p w14:paraId="4CF8941A"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V</w:t>
            </w:r>
          </w:p>
        </w:tc>
        <w:tc>
          <w:tcPr>
            <w:tcW w:w="1559" w:type="dxa"/>
            <w:shd w:val="clear" w:color="auto" w:fill="auto"/>
            <w:vAlign w:val="center"/>
          </w:tcPr>
          <w:p w14:paraId="77567A37"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w:t>
            </w:r>
          </w:p>
        </w:tc>
        <w:tc>
          <w:tcPr>
            <w:tcW w:w="1134" w:type="dxa"/>
            <w:shd w:val="clear" w:color="auto" w:fill="auto"/>
            <w:vAlign w:val="center"/>
          </w:tcPr>
          <w:p w14:paraId="4B9B88D7"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67%</w:t>
            </w:r>
          </w:p>
        </w:tc>
        <w:tc>
          <w:tcPr>
            <w:tcW w:w="2552" w:type="dxa"/>
            <w:shd w:val="clear" w:color="auto" w:fill="FFFF00"/>
            <w:vAlign w:val="center"/>
          </w:tcPr>
          <w:p w14:paraId="28DD797F"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Yellow</w:t>
            </w:r>
          </w:p>
        </w:tc>
      </w:tr>
      <w:tr w:rsidR="00E34781" w:rsidRPr="00E34781" w14:paraId="73A5389B" w14:textId="77777777" w:rsidTr="00420C5B">
        <w:tc>
          <w:tcPr>
            <w:tcW w:w="1559" w:type="dxa"/>
            <w:shd w:val="clear" w:color="auto" w:fill="808080" w:themeFill="background1" w:themeFillShade="80"/>
            <w:vAlign w:val="center"/>
          </w:tcPr>
          <w:p w14:paraId="0EA87A8A"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Θ</w:t>
            </w:r>
          </w:p>
        </w:tc>
        <w:tc>
          <w:tcPr>
            <w:tcW w:w="1985" w:type="dxa"/>
            <w:shd w:val="clear" w:color="auto" w:fill="D9D9D9" w:themeFill="background1" w:themeFillShade="D9"/>
            <w:vAlign w:val="center"/>
          </w:tcPr>
          <w:p w14:paraId="7071CC1C"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c>
          <w:tcPr>
            <w:tcW w:w="1559" w:type="dxa"/>
            <w:shd w:val="clear" w:color="auto" w:fill="auto"/>
            <w:vAlign w:val="center"/>
          </w:tcPr>
          <w:p w14:paraId="58B02F0E"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1.70</w:t>
            </w:r>
          </w:p>
        </w:tc>
        <w:tc>
          <w:tcPr>
            <w:tcW w:w="1134" w:type="dxa"/>
            <w:shd w:val="clear" w:color="auto" w:fill="auto"/>
            <w:vAlign w:val="center"/>
          </w:tcPr>
          <w:p w14:paraId="7A0A00AD"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57%</w:t>
            </w:r>
          </w:p>
        </w:tc>
        <w:tc>
          <w:tcPr>
            <w:tcW w:w="2552" w:type="dxa"/>
            <w:shd w:val="clear" w:color="auto" w:fill="FFFF00"/>
            <w:vAlign w:val="center"/>
          </w:tcPr>
          <w:p w14:paraId="6CC8EFD2"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Yellow</w:t>
            </w:r>
          </w:p>
        </w:tc>
      </w:tr>
      <w:tr w:rsidR="00E34781" w:rsidRPr="00E34781" w14:paraId="0B5DBAE8" w14:textId="77777777" w:rsidTr="00420C5B">
        <w:tc>
          <w:tcPr>
            <w:tcW w:w="1559" w:type="dxa"/>
            <w:shd w:val="clear" w:color="auto" w:fill="808080" w:themeFill="background1" w:themeFillShade="80"/>
            <w:vAlign w:val="center"/>
          </w:tcPr>
          <w:p w14:paraId="2479931D"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Θ</w:t>
            </w:r>
          </w:p>
        </w:tc>
        <w:tc>
          <w:tcPr>
            <w:tcW w:w="1985" w:type="dxa"/>
            <w:shd w:val="clear" w:color="auto" w:fill="808080" w:themeFill="background1" w:themeFillShade="80"/>
            <w:vAlign w:val="center"/>
          </w:tcPr>
          <w:p w14:paraId="670D7C4D"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Θ</w:t>
            </w:r>
          </w:p>
        </w:tc>
        <w:tc>
          <w:tcPr>
            <w:tcW w:w="1559" w:type="dxa"/>
            <w:shd w:val="clear" w:color="auto" w:fill="auto"/>
            <w:vAlign w:val="center"/>
          </w:tcPr>
          <w:p w14:paraId="0B667BBB"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w:t>
            </w:r>
          </w:p>
        </w:tc>
        <w:tc>
          <w:tcPr>
            <w:tcW w:w="1134" w:type="dxa"/>
            <w:shd w:val="clear" w:color="auto" w:fill="auto"/>
            <w:vAlign w:val="center"/>
          </w:tcPr>
          <w:p w14:paraId="75A55BAB"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0%</w:t>
            </w:r>
          </w:p>
        </w:tc>
        <w:tc>
          <w:tcPr>
            <w:tcW w:w="2552" w:type="dxa"/>
            <w:shd w:val="clear" w:color="auto" w:fill="FF0000"/>
            <w:vAlign w:val="center"/>
          </w:tcPr>
          <w:p w14:paraId="63BAABCD" w14:textId="77777777" w:rsidR="00E34781" w:rsidRPr="00E34781" w:rsidRDefault="00E34781" w:rsidP="00420C5B">
            <w:pPr>
              <w:pStyle w:val="CETBodytext"/>
              <w:ind w:right="-1"/>
              <w:jc w:val="center"/>
              <w:rPr>
                <w:rFonts w:cs="Arial"/>
                <w:szCs w:val="18"/>
                <w:lang w:val="en-GB"/>
              </w:rPr>
            </w:pPr>
            <w:r w:rsidRPr="00E34781">
              <w:rPr>
                <w:rFonts w:cs="Arial"/>
                <w:color w:val="FFFFFF" w:themeColor="background1"/>
                <w:szCs w:val="18"/>
                <w:lang w:val="en-GB"/>
              </w:rPr>
              <w:t>Red</w:t>
            </w:r>
          </w:p>
        </w:tc>
      </w:tr>
      <w:tr w:rsidR="00E34781" w:rsidRPr="00E34781" w14:paraId="50FA6CD4" w14:textId="77777777" w:rsidTr="00420C5B">
        <w:tc>
          <w:tcPr>
            <w:tcW w:w="1559" w:type="dxa"/>
            <w:shd w:val="clear" w:color="auto" w:fill="808080" w:themeFill="background1" w:themeFillShade="80"/>
            <w:vAlign w:val="center"/>
          </w:tcPr>
          <w:p w14:paraId="25D80B2F"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Θ</w:t>
            </w:r>
          </w:p>
        </w:tc>
        <w:tc>
          <w:tcPr>
            <w:tcW w:w="1985" w:type="dxa"/>
            <w:shd w:val="clear" w:color="auto" w:fill="000000" w:themeFill="text1"/>
            <w:vAlign w:val="center"/>
          </w:tcPr>
          <w:p w14:paraId="6C31C6B0"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c>
          <w:tcPr>
            <w:tcW w:w="1559" w:type="dxa"/>
            <w:shd w:val="clear" w:color="auto" w:fill="auto"/>
            <w:vAlign w:val="center"/>
          </w:tcPr>
          <w:p w14:paraId="4CA04C1E"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w:t>
            </w:r>
          </w:p>
        </w:tc>
        <w:tc>
          <w:tcPr>
            <w:tcW w:w="1134" w:type="dxa"/>
            <w:shd w:val="clear" w:color="auto" w:fill="auto"/>
            <w:vAlign w:val="center"/>
          </w:tcPr>
          <w:p w14:paraId="3C94F03E"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67%</w:t>
            </w:r>
          </w:p>
        </w:tc>
        <w:tc>
          <w:tcPr>
            <w:tcW w:w="2552" w:type="dxa"/>
            <w:shd w:val="clear" w:color="auto" w:fill="FFFF00"/>
            <w:vAlign w:val="center"/>
          </w:tcPr>
          <w:p w14:paraId="38D15018"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!Yellow!</w:t>
            </w:r>
          </w:p>
        </w:tc>
      </w:tr>
      <w:tr w:rsidR="00E34781" w:rsidRPr="00E34781" w14:paraId="79274B6A" w14:textId="77777777" w:rsidTr="00420C5B">
        <w:tc>
          <w:tcPr>
            <w:tcW w:w="1559" w:type="dxa"/>
            <w:shd w:val="clear" w:color="auto" w:fill="000000" w:themeFill="text1"/>
            <w:vAlign w:val="center"/>
          </w:tcPr>
          <w:p w14:paraId="322DDF20"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c>
          <w:tcPr>
            <w:tcW w:w="1985" w:type="dxa"/>
            <w:vAlign w:val="center"/>
          </w:tcPr>
          <w:p w14:paraId="24D5ADDC"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V</w:t>
            </w:r>
          </w:p>
        </w:tc>
        <w:tc>
          <w:tcPr>
            <w:tcW w:w="1559" w:type="dxa"/>
            <w:shd w:val="clear" w:color="auto" w:fill="auto"/>
            <w:vAlign w:val="center"/>
          </w:tcPr>
          <w:p w14:paraId="347BA598"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3</w:t>
            </w:r>
          </w:p>
        </w:tc>
        <w:tc>
          <w:tcPr>
            <w:tcW w:w="1134" w:type="dxa"/>
            <w:shd w:val="clear" w:color="auto" w:fill="auto"/>
            <w:vAlign w:val="center"/>
          </w:tcPr>
          <w:p w14:paraId="068C7570"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100%</w:t>
            </w:r>
          </w:p>
        </w:tc>
        <w:tc>
          <w:tcPr>
            <w:tcW w:w="2552" w:type="dxa"/>
            <w:shd w:val="clear" w:color="auto" w:fill="92D050"/>
            <w:vAlign w:val="center"/>
          </w:tcPr>
          <w:p w14:paraId="55820C86"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!Green!</w:t>
            </w:r>
          </w:p>
        </w:tc>
      </w:tr>
      <w:tr w:rsidR="00E34781" w:rsidRPr="00E34781" w14:paraId="75D56006" w14:textId="77777777" w:rsidTr="00420C5B">
        <w:tc>
          <w:tcPr>
            <w:tcW w:w="1559" w:type="dxa"/>
            <w:shd w:val="clear" w:color="auto" w:fill="000000" w:themeFill="text1"/>
            <w:vAlign w:val="center"/>
          </w:tcPr>
          <w:p w14:paraId="7385206F"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c>
          <w:tcPr>
            <w:tcW w:w="1985" w:type="dxa"/>
            <w:shd w:val="clear" w:color="auto" w:fill="D9D9D9" w:themeFill="background1" w:themeFillShade="D9"/>
            <w:vAlign w:val="center"/>
          </w:tcPr>
          <w:p w14:paraId="553A3723"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w:t>
            </w:r>
          </w:p>
        </w:tc>
        <w:tc>
          <w:tcPr>
            <w:tcW w:w="1559" w:type="dxa"/>
            <w:shd w:val="clear" w:color="auto" w:fill="auto"/>
            <w:vAlign w:val="center"/>
          </w:tcPr>
          <w:p w14:paraId="35621A73"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2.70</w:t>
            </w:r>
          </w:p>
        </w:tc>
        <w:tc>
          <w:tcPr>
            <w:tcW w:w="1134" w:type="dxa"/>
            <w:shd w:val="clear" w:color="auto" w:fill="auto"/>
            <w:vAlign w:val="center"/>
          </w:tcPr>
          <w:p w14:paraId="0F9D745D"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90%</w:t>
            </w:r>
          </w:p>
        </w:tc>
        <w:tc>
          <w:tcPr>
            <w:tcW w:w="2552" w:type="dxa"/>
            <w:shd w:val="clear" w:color="auto" w:fill="92D050"/>
            <w:vAlign w:val="center"/>
          </w:tcPr>
          <w:p w14:paraId="2685CB4F" w14:textId="77777777" w:rsidR="00E34781" w:rsidRPr="00E34781" w:rsidRDefault="00E34781" w:rsidP="00420C5B">
            <w:pPr>
              <w:pStyle w:val="CETBodytext"/>
              <w:ind w:right="-1"/>
              <w:jc w:val="center"/>
              <w:rPr>
                <w:rFonts w:cs="Arial"/>
                <w:szCs w:val="18"/>
                <w:lang w:val="en-GB"/>
              </w:rPr>
            </w:pPr>
            <w:r w:rsidRPr="00E34781">
              <w:rPr>
                <w:rFonts w:cs="Arial"/>
                <w:szCs w:val="18"/>
                <w:lang w:val="en-GB"/>
              </w:rPr>
              <w:t>!Green!</w:t>
            </w:r>
          </w:p>
        </w:tc>
      </w:tr>
      <w:tr w:rsidR="00E34781" w:rsidRPr="00E34781" w14:paraId="03D6841F" w14:textId="77777777" w:rsidTr="00420C5B">
        <w:tblPrEx>
          <w:jc w:val="center"/>
          <w:tblBorders>
            <w:top w:val="none" w:sz="0" w:space="0" w:color="auto"/>
            <w:bottom w:val="none" w:sz="0" w:space="0" w:color="auto"/>
          </w:tblBorders>
          <w:shd w:val="clear" w:color="auto" w:fill="auto"/>
          <w:tblCellMar>
            <w:left w:w="108" w:type="dxa"/>
            <w:right w:w="108" w:type="dxa"/>
          </w:tblCellMar>
          <w:tblLook w:val="04A0" w:firstRow="1" w:lastRow="0" w:firstColumn="1" w:lastColumn="0" w:noHBand="0" w:noVBand="1"/>
        </w:tblPrEx>
        <w:trPr>
          <w:jc w:val="center"/>
        </w:trPr>
        <w:tc>
          <w:tcPr>
            <w:tcW w:w="1559" w:type="dxa"/>
            <w:shd w:val="clear" w:color="auto" w:fill="000000" w:themeFill="text1"/>
            <w:vAlign w:val="center"/>
          </w:tcPr>
          <w:p w14:paraId="15D1CD94" w14:textId="77777777" w:rsidR="00E34781" w:rsidRPr="00E34781" w:rsidRDefault="00E34781" w:rsidP="00420C5B">
            <w:pPr>
              <w:jc w:val="center"/>
              <w:rPr>
                <w:rFonts w:cs="Arial"/>
                <w:szCs w:val="18"/>
              </w:rPr>
            </w:pPr>
            <w:r w:rsidRPr="00E34781">
              <w:rPr>
                <w:rFonts w:cs="Arial"/>
                <w:szCs w:val="18"/>
              </w:rPr>
              <w:t>!</w:t>
            </w:r>
          </w:p>
        </w:tc>
        <w:tc>
          <w:tcPr>
            <w:tcW w:w="1985" w:type="dxa"/>
            <w:shd w:val="clear" w:color="auto" w:fill="808080" w:themeFill="background1" w:themeFillShade="80"/>
            <w:vAlign w:val="center"/>
          </w:tcPr>
          <w:p w14:paraId="2CC862EF" w14:textId="77777777" w:rsidR="00E34781" w:rsidRPr="00E34781" w:rsidRDefault="00E34781" w:rsidP="00420C5B">
            <w:pPr>
              <w:jc w:val="center"/>
              <w:rPr>
                <w:rFonts w:cs="Arial"/>
                <w:szCs w:val="18"/>
              </w:rPr>
            </w:pPr>
            <w:r w:rsidRPr="00E34781">
              <w:rPr>
                <w:rFonts w:cs="Arial"/>
                <w:szCs w:val="18"/>
              </w:rPr>
              <w:t>Θ</w:t>
            </w:r>
          </w:p>
        </w:tc>
        <w:tc>
          <w:tcPr>
            <w:tcW w:w="1559" w:type="dxa"/>
            <w:shd w:val="clear" w:color="auto" w:fill="auto"/>
            <w:vAlign w:val="center"/>
          </w:tcPr>
          <w:p w14:paraId="1E883F32" w14:textId="77777777" w:rsidR="00E34781" w:rsidRPr="00E34781" w:rsidRDefault="00E34781" w:rsidP="00420C5B">
            <w:pPr>
              <w:jc w:val="center"/>
              <w:rPr>
                <w:rFonts w:cs="Arial"/>
                <w:szCs w:val="18"/>
              </w:rPr>
            </w:pPr>
            <w:r w:rsidRPr="00E34781">
              <w:rPr>
                <w:rFonts w:cs="Arial"/>
                <w:szCs w:val="18"/>
              </w:rPr>
              <w:t>1</w:t>
            </w:r>
          </w:p>
        </w:tc>
        <w:tc>
          <w:tcPr>
            <w:tcW w:w="1134" w:type="dxa"/>
            <w:shd w:val="clear" w:color="auto" w:fill="auto"/>
            <w:vAlign w:val="center"/>
          </w:tcPr>
          <w:p w14:paraId="6BED28DE" w14:textId="77777777" w:rsidR="00E34781" w:rsidRPr="00E34781" w:rsidRDefault="00E34781" w:rsidP="00420C5B">
            <w:pPr>
              <w:jc w:val="center"/>
              <w:rPr>
                <w:rFonts w:cs="Arial"/>
                <w:szCs w:val="18"/>
              </w:rPr>
            </w:pPr>
            <w:r w:rsidRPr="00E34781">
              <w:rPr>
                <w:rFonts w:cs="Arial"/>
                <w:szCs w:val="18"/>
              </w:rPr>
              <w:t>33%</w:t>
            </w:r>
          </w:p>
        </w:tc>
        <w:tc>
          <w:tcPr>
            <w:tcW w:w="2552" w:type="dxa"/>
            <w:shd w:val="clear" w:color="auto" w:fill="FFC000"/>
            <w:vAlign w:val="center"/>
          </w:tcPr>
          <w:p w14:paraId="0445C656" w14:textId="77777777" w:rsidR="00E34781" w:rsidRPr="00E34781" w:rsidRDefault="00E34781" w:rsidP="00420C5B">
            <w:pPr>
              <w:jc w:val="center"/>
              <w:rPr>
                <w:rFonts w:cs="Arial"/>
                <w:szCs w:val="18"/>
              </w:rPr>
            </w:pPr>
            <w:r w:rsidRPr="00E34781">
              <w:rPr>
                <w:rFonts w:cs="Arial"/>
                <w:szCs w:val="18"/>
              </w:rPr>
              <w:t>!Orange!</w:t>
            </w:r>
          </w:p>
        </w:tc>
      </w:tr>
    </w:tbl>
    <w:p w14:paraId="6D6104D6" w14:textId="77777777" w:rsidR="00E34781" w:rsidRPr="00E34781" w:rsidRDefault="00E34781" w:rsidP="00E34781">
      <w:pPr>
        <w:pStyle w:val="Kop2"/>
        <w:spacing w:before="240" w:after="120"/>
        <w:rPr>
          <w:rFonts w:ascii="Arial" w:hAnsi="Arial" w:cs="Arial"/>
          <w:b w:val="0"/>
          <w:bCs w:val="0"/>
          <w:color w:val="auto"/>
          <w:sz w:val="18"/>
          <w:szCs w:val="18"/>
        </w:rPr>
      </w:pPr>
      <w:bookmarkStart w:id="3" w:name="_Toc83582612"/>
      <w:r w:rsidRPr="00E34781">
        <w:rPr>
          <w:rFonts w:ascii="Arial" w:hAnsi="Arial" w:cs="Arial"/>
          <w:color w:val="auto"/>
          <w:sz w:val="18"/>
          <w:szCs w:val="18"/>
        </w:rPr>
        <w:t>3 Case study</w:t>
      </w:r>
      <w:bookmarkEnd w:id="3"/>
    </w:p>
    <w:p w14:paraId="3E0364C0" w14:textId="450814D2" w:rsidR="00E34781" w:rsidRPr="00E34781" w:rsidRDefault="00E34781" w:rsidP="00E34781">
      <w:pPr>
        <w:rPr>
          <w:rFonts w:cs="Arial"/>
          <w:szCs w:val="18"/>
        </w:rPr>
      </w:pPr>
      <w:r w:rsidRPr="00E34781">
        <w:rPr>
          <w:rFonts w:cs="Arial"/>
          <w:szCs w:val="18"/>
        </w:rPr>
        <w:t xml:space="preserve">The ammonia process uses natural gas as a raw material. Gas is cracked </w:t>
      </w:r>
      <w:r w:rsidR="00064E80">
        <w:rPr>
          <w:rFonts w:cs="Arial"/>
          <w:szCs w:val="18"/>
        </w:rPr>
        <w:t xml:space="preserve">to </w:t>
      </w:r>
      <w:r w:rsidR="00064E80" w:rsidRPr="006C170B">
        <w:rPr>
          <w:rFonts w:cs="Arial"/>
          <w:szCs w:val="18"/>
        </w:rPr>
        <w:t>H</w:t>
      </w:r>
      <w:r w:rsidR="00064E80" w:rsidRPr="006C170B">
        <w:rPr>
          <w:rFonts w:cs="Arial"/>
          <w:szCs w:val="18"/>
          <w:vertAlign w:val="subscript"/>
        </w:rPr>
        <w:t>2</w:t>
      </w:r>
      <w:r w:rsidR="006C170B">
        <w:rPr>
          <w:rFonts w:cs="Arial"/>
          <w:szCs w:val="18"/>
        </w:rPr>
        <w:t xml:space="preserve"> </w:t>
      </w:r>
      <w:r w:rsidRPr="006C170B">
        <w:rPr>
          <w:rFonts w:cs="Arial"/>
          <w:szCs w:val="18"/>
        </w:rPr>
        <w:t>and</w:t>
      </w:r>
      <w:r w:rsidRPr="00E34781">
        <w:rPr>
          <w:rFonts w:cs="Arial"/>
          <w:szCs w:val="18"/>
        </w:rPr>
        <w:t xml:space="preserve"> combined with N</w:t>
      </w:r>
      <w:r w:rsidRPr="00E34781">
        <w:rPr>
          <w:rFonts w:cs="Arial"/>
          <w:szCs w:val="18"/>
          <w:vertAlign w:val="subscript"/>
        </w:rPr>
        <w:t>2</w:t>
      </w:r>
      <w:r w:rsidRPr="00E34781">
        <w:rPr>
          <w:rFonts w:cs="Arial"/>
          <w:szCs w:val="18"/>
        </w:rPr>
        <w:t xml:space="preserve"> from the air. The synthesis reaction to form ammonia takes place in the presence of a catalyst at approx. 200 bar and 515 °C, the Haber-Bosch process. In the last part of the process the ammonia formed is cooled, separated from the unreacted and inert gases and reduced in pressure, followed by refrigeration to liquify the ammonia.</w:t>
      </w:r>
    </w:p>
    <w:p w14:paraId="233CFFE1" w14:textId="77777777" w:rsidR="00E34781" w:rsidRPr="00E34781" w:rsidRDefault="00E34781" w:rsidP="00E34781">
      <w:pPr>
        <w:rPr>
          <w:rFonts w:cs="Arial"/>
          <w:szCs w:val="18"/>
        </w:rPr>
      </w:pPr>
    </w:p>
    <w:p w14:paraId="76312451" w14:textId="158F81AF" w:rsidR="00E34781" w:rsidRPr="00E34781" w:rsidRDefault="00E34781" w:rsidP="00E34781">
      <w:pPr>
        <w:rPr>
          <w:rFonts w:cs="Arial"/>
          <w:szCs w:val="18"/>
        </w:rPr>
      </w:pPr>
      <w:r w:rsidRPr="00E34781">
        <w:rPr>
          <w:rFonts w:cs="Arial"/>
          <w:szCs w:val="18"/>
        </w:rPr>
        <w:t xml:space="preserve">Post reformer R1 is part of the cracking process, where uncracked natural gas from the reformer is cracked at temperatures, up to 1000°C. The post reformer is equipped with a water jacket that protects the inner wall against too high temperature. The water jacket has open connections on top. As the water jacket is slowly losing its contents, water has to be supplied continuously. A disturbed water flow will raise the wall’s temperature, weaken it and finally the wall will collapse under the prevailing process pressure of approx. 37 bar. Process gas will escape, creating a jet fire or explosion. The water in the water jacket comes from the feed water pumps P1A and P1B, one running, and one on a stand-by mode. Pump failure is seen as the most likely cause for failure of the water supply. If both pumps fail, a motor alarm (MA P1) is activated, after which the operator can try and start one of the feed water pumps, start one of the condensate pumps or draw in canal water to feed the water jacket (Figures </w:t>
      </w:r>
      <w:r w:rsidR="00993698">
        <w:rPr>
          <w:rFonts w:cs="Arial"/>
          <w:szCs w:val="18"/>
        </w:rPr>
        <w:t xml:space="preserve">3, </w:t>
      </w:r>
      <w:r w:rsidRPr="00E34781">
        <w:rPr>
          <w:rFonts w:cs="Arial"/>
          <w:szCs w:val="18"/>
        </w:rPr>
        <w:t>4).</w:t>
      </w:r>
    </w:p>
    <w:p w14:paraId="564B1F80" w14:textId="6C0E8754" w:rsidR="00E34781" w:rsidRPr="00E34781" w:rsidRDefault="004B4B7B" w:rsidP="00E34781">
      <w:pPr>
        <w:spacing w:before="240" w:after="240"/>
        <w:ind w:left="3538" w:hanging="3538"/>
        <w:rPr>
          <w:rFonts w:cs="Arial"/>
          <w:szCs w:val="18"/>
        </w:rPr>
      </w:pPr>
      <w:r w:rsidRPr="00E34781">
        <w:rPr>
          <w:rFonts w:cs="Arial"/>
          <w:noProof/>
          <w:szCs w:val="18"/>
        </w:rPr>
        <w:drawing>
          <wp:anchor distT="0" distB="0" distL="114300" distR="114300" simplePos="0" relativeHeight="251660288" behindDoc="1" locked="0" layoutInCell="1" allowOverlap="1" wp14:anchorId="3CCA378B" wp14:editId="5DFF5290">
            <wp:simplePos x="0" y="0"/>
            <wp:positionH relativeFrom="margin">
              <wp:posOffset>62865</wp:posOffset>
            </wp:positionH>
            <wp:positionV relativeFrom="margin">
              <wp:posOffset>5188585</wp:posOffset>
            </wp:positionV>
            <wp:extent cx="1884045" cy="2728595"/>
            <wp:effectExtent l="0" t="0" r="1905" b="0"/>
            <wp:wrapSquare wrapText="bothSides"/>
            <wp:docPr id="7" name="Picture 3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verbrander R3102 - 2020031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4045" cy="2728595"/>
                    </a:xfrm>
                    <a:prstGeom prst="rect">
                      <a:avLst/>
                    </a:prstGeom>
                  </pic:spPr>
                </pic:pic>
              </a:graphicData>
            </a:graphic>
            <wp14:sizeRelH relativeFrom="margin">
              <wp14:pctWidth>0</wp14:pctWidth>
            </wp14:sizeRelH>
            <wp14:sizeRelV relativeFrom="margin">
              <wp14:pctHeight>0</wp14:pctHeight>
            </wp14:sizeRelV>
          </wp:anchor>
        </w:drawing>
      </w:r>
      <w:r w:rsidR="00E34781" w:rsidRPr="00E34781">
        <w:rPr>
          <w:rFonts w:cs="Arial"/>
          <w:i/>
          <w:iCs/>
          <w:szCs w:val="18"/>
        </w:rPr>
        <w:t xml:space="preserve">Figure </w:t>
      </w:r>
      <w:r w:rsidR="00DA1D2C">
        <w:rPr>
          <w:rFonts w:cs="Arial"/>
          <w:i/>
          <w:iCs/>
          <w:szCs w:val="18"/>
        </w:rPr>
        <w:t>3</w:t>
      </w:r>
      <w:r w:rsidR="00E34781" w:rsidRPr="00E34781">
        <w:rPr>
          <w:rFonts w:cs="Arial"/>
          <w:i/>
          <w:iCs/>
          <w:szCs w:val="18"/>
        </w:rPr>
        <w:t xml:space="preserve">: </w:t>
      </w:r>
      <w:r w:rsidR="009C7DF7">
        <w:rPr>
          <w:rFonts w:cs="Arial"/>
          <w:i/>
          <w:iCs/>
          <w:szCs w:val="18"/>
        </w:rPr>
        <w:t>P</w:t>
      </w:r>
      <w:r w:rsidR="00E34781" w:rsidRPr="00E34781">
        <w:rPr>
          <w:rFonts w:cs="Arial"/>
          <w:i/>
          <w:iCs/>
          <w:szCs w:val="18"/>
        </w:rPr>
        <w:t>ost reformer R1 and alarms</w:t>
      </w:r>
      <w:r w:rsidR="00E34781" w:rsidRPr="00E34781">
        <w:rPr>
          <w:rFonts w:cs="Arial"/>
          <w:szCs w:val="18"/>
        </w:rPr>
        <w:t xml:space="preserve"> </w:t>
      </w:r>
      <w:r w:rsidR="00E34781" w:rsidRPr="00E34781">
        <w:rPr>
          <w:rFonts w:cs="Arial"/>
          <w:szCs w:val="18"/>
        </w:rPr>
        <w:tab/>
      </w:r>
      <w:r w:rsidR="00E34781" w:rsidRPr="00E34781">
        <w:rPr>
          <w:rFonts w:cs="Arial"/>
          <w:i/>
          <w:iCs/>
          <w:szCs w:val="18"/>
        </w:rPr>
        <w:t xml:space="preserve">Figure </w:t>
      </w:r>
      <w:r w:rsidR="00B00078">
        <w:rPr>
          <w:rFonts w:cs="Arial"/>
          <w:i/>
          <w:iCs/>
          <w:szCs w:val="18"/>
        </w:rPr>
        <w:t>4</w:t>
      </w:r>
      <w:r w:rsidR="00E34781" w:rsidRPr="00E34781">
        <w:rPr>
          <w:rFonts w:cs="Arial"/>
          <w:i/>
          <w:iCs/>
          <w:szCs w:val="18"/>
        </w:rPr>
        <w:t xml:space="preserve">: </w:t>
      </w:r>
      <w:r w:rsidR="009C7DF7">
        <w:rPr>
          <w:rFonts w:cs="Arial"/>
          <w:i/>
          <w:iCs/>
          <w:szCs w:val="18"/>
        </w:rPr>
        <w:t>S</w:t>
      </w:r>
      <w:r w:rsidR="00E34781" w:rsidRPr="00E34781">
        <w:rPr>
          <w:rFonts w:cs="Arial"/>
          <w:i/>
          <w:iCs/>
          <w:szCs w:val="18"/>
        </w:rPr>
        <w:t>cenario ‘too high wall temperature R1’ by failure of the water jacket cooling</w:t>
      </w:r>
    </w:p>
    <w:p w14:paraId="1B0456E1" w14:textId="1BB0FA17" w:rsidR="00E34781" w:rsidRPr="00E34781" w:rsidRDefault="00E34781" w:rsidP="00E34781">
      <w:pPr>
        <w:ind w:left="3544"/>
        <w:rPr>
          <w:rFonts w:cs="Arial"/>
          <w:szCs w:val="18"/>
        </w:rPr>
      </w:pPr>
      <w:r w:rsidRPr="00E34781">
        <w:rPr>
          <w:rFonts w:cs="Arial"/>
          <w:noProof/>
          <w:szCs w:val="18"/>
        </w:rPr>
        <w:drawing>
          <wp:inline distT="0" distB="0" distL="0" distR="0" wp14:anchorId="02AA0F84" wp14:editId="61A8522A">
            <wp:extent cx="3154227" cy="671945"/>
            <wp:effectExtent l="0" t="0" r="8255" b="0"/>
            <wp:docPr id="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658" t="7792" b="11043"/>
                    <a:stretch/>
                  </pic:blipFill>
                  <pic:spPr bwMode="auto">
                    <a:xfrm>
                      <a:off x="0" y="0"/>
                      <a:ext cx="3281466" cy="699051"/>
                    </a:xfrm>
                    <a:prstGeom prst="rect">
                      <a:avLst/>
                    </a:prstGeom>
                    <a:noFill/>
                    <a:ln>
                      <a:noFill/>
                    </a:ln>
                    <a:extLst>
                      <a:ext uri="{53640926-AAD7-44D8-BBD7-CCE9431645EC}">
                        <a14:shadowObscured xmlns:a14="http://schemas.microsoft.com/office/drawing/2010/main"/>
                      </a:ext>
                    </a:extLst>
                  </pic:spPr>
                </pic:pic>
              </a:graphicData>
            </a:graphic>
          </wp:inline>
        </w:drawing>
      </w:r>
    </w:p>
    <w:p w14:paraId="1085C65D" w14:textId="5601864F" w:rsidR="00E34781" w:rsidRPr="00E34781" w:rsidRDefault="00E34781" w:rsidP="00E34781">
      <w:pPr>
        <w:rPr>
          <w:rFonts w:cs="Arial"/>
          <w:szCs w:val="18"/>
        </w:rPr>
      </w:pPr>
    </w:p>
    <w:p w14:paraId="7717A257" w14:textId="3440F134" w:rsidR="00E34781" w:rsidRPr="00E34781" w:rsidRDefault="00E34781" w:rsidP="00E34781">
      <w:pPr>
        <w:rPr>
          <w:rFonts w:cs="Arial"/>
          <w:szCs w:val="18"/>
        </w:rPr>
      </w:pPr>
      <w:r w:rsidRPr="00E34781">
        <w:rPr>
          <w:rFonts w:cs="Arial"/>
          <w:szCs w:val="18"/>
        </w:rPr>
        <w:t xml:space="preserve">A low water supply to the water jacket is also detected by a low flow alarm (FAL1) that gives the operator enough time to act and to ensure sufficient water supply to the water jacket. This action is identical to the activated alarm MA P1: manual start of the feed water or condensate pumps or the intake of canal water. Also two (low-level) alarms (LAL) installed on the water jacket will be activated if water levels are too low. Although these two identical alarms can be considered as a 1-out of-2 system, they count in the calculation as if they were two separate alarms. In case the low-level alarms have been activated, the operator has some but limited time to identify and recover from the cause. Ultimately it can be decided to shut down the plant. All the operator actions are relatively simple and can be conducted out without much time pressure. All four alarms have </w:t>
      </w:r>
      <w:r w:rsidR="001D2C2F">
        <w:rPr>
          <w:rFonts w:cs="Arial"/>
          <w:szCs w:val="18"/>
        </w:rPr>
        <w:t>a SIL a quali</w:t>
      </w:r>
      <w:r w:rsidR="005F5BAE">
        <w:rPr>
          <w:rFonts w:cs="Arial"/>
          <w:szCs w:val="18"/>
        </w:rPr>
        <w:t xml:space="preserve">fication and </w:t>
      </w:r>
      <w:r w:rsidRPr="00E34781">
        <w:rPr>
          <w:rFonts w:cs="Arial"/>
          <w:szCs w:val="18"/>
        </w:rPr>
        <w:t>an RRL of 0.5. According to specification, the scenario is protected by a barrier system with a total RRL of 2. The status of the preventive barrier indicators is presented in dashboards.</w:t>
      </w:r>
    </w:p>
    <w:p w14:paraId="60BBEB86" w14:textId="77777777" w:rsidR="00E34781" w:rsidRPr="00E34781" w:rsidRDefault="00E34781" w:rsidP="00E34781">
      <w:pPr>
        <w:rPr>
          <w:rFonts w:cs="Arial"/>
          <w:szCs w:val="18"/>
        </w:rPr>
      </w:pPr>
    </w:p>
    <w:p w14:paraId="244760B4" w14:textId="199E2EEE" w:rsidR="00E34781" w:rsidRPr="00E34781" w:rsidRDefault="00E34781" w:rsidP="00E34781">
      <w:pPr>
        <w:rPr>
          <w:rFonts w:cs="Arial"/>
          <w:szCs w:val="18"/>
        </w:rPr>
      </w:pPr>
      <w:r w:rsidRPr="00E34781">
        <w:rPr>
          <w:rFonts w:cs="Arial"/>
          <w:szCs w:val="18"/>
        </w:rPr>
        <w:lastRenderedPageBreak/>
        <w:t xml:space="preserve">The screenshots below show a detailed process safety dashboard, showing all ammonia production installations (Figure </w:t>
      </w:r>
      <w:r w:rsidR="00561885">
        <w:rPr>
          <w:rFonts w:cs="Arial"/>
          <w:szCs w:val="18"/>
        </w:rPr>
        <w:t>5</w:t>
      </w:r>
      <w:r w:rsidRPr="00E34781">
        <w:rPr>
          <w:rFonts w:cs="Arial"/>
          <w:szCs w:val="18"/>
        </w:rPr>
        <w:t xml:space="preserve">), and zooming to the installation with a problematic barrier status (Figure </w:t>
      </w:r>
      <w:r w:rsidR="00561885">
        <w:rPr>
          <w:rFonts w:cs="Arial"/>
          <w:szCs w:val="18"/>
        </w:rPr>
        <w:t>6</w:t>
      </w:r>
      <w:r w:rsidRPr="00E34781">
        <w:rPr>
          <w:rFonts w:cs="Arial"/>
          <w:szCs w:val="18"/>
        </w:rPr>
        <w:t xml:space="preserve">), and activated alarms (Figure </w:t>
      </w:r>
      <w:r w:rsidR="00561885">
        <w:rPr>
          <w:rFonts w:cs="Arial"/>
          <w:szCs w:val="18"/>
        </w:rPr>
        <w:t>7</w:t>
      </w:r>
      <w:r w:rsidRPr="00E34781">
        <w:rPr>
          <w:rFonts w:cs="Arial"/>
          <w:szCs w:val="18"/>
        </w:rPr>
        <w:t xml:space="preserve">). Installing such a process safety dashboard can provide the control room with real-time information about the status of the barrier system, but it also enables management to view the </w:t>
      </w:r>
      <w:r w:rsidRPr="00E34781">
        <w:rPr>
          <w:rFonts w:cs="Arial"/>
          <w:i/>
          <w:iCs/>
          <w:szCs w:val="18"/>
        </w:rPr>
        <w:t>status quo</w:t>
      </w:r>
      <w:r w:rsidRPr="00E34781">
        <w:rPr>
          <w:rFonts w:cs="Arial"/>
          <w:szCs w:val="18"/>
        </w:rPr>
        <w:t xml:space="preserve"> of their production unit at a high level.</w:t>
      </w:r>
    </w:p>
    <w:p w14:paraId="615597E1" w14:textId="6F3F7620" w:rsidR="00E34781" w:rsidRPr="00E34781" w:rsidRDefault="00E34781" w:rsidP="00E34781">
      <w:pPr>
        <w:spacing w:before="240" w:after="240"/>
        <w:ind w:left="5245" w:hanging="5245"/>
        <w:rPr>
          <w:rFonts w:cs="Arial"/>
          <w:szCs w:val="18"/>
        </w:rPr>
      </w:pPr>
      <w:r w:rsidRPr="00E34781">
        <w:rPr>
          <w:rFonts w:cs="Arial"/>
          <w:i/>
          <w:iCs/>
          <w:szCs w:val="18"/>
        </w:rPr>
        <w:t xml:space="preserve">Figure </w:t>
      </w:r>
      <w:r w:rsidR="00561885">
        <w:rPr>
          <w:rFonts w:cs="Arial"/>
          <w:i/>
          <w:iCs/>
          <w:szCs w:val="18"/>
        </w:rPr>
        <w:t>5</w:t>
      </w:r>
      <w:r w:rsidRPr="00E34781">
        <w:rPr>
          <w:rFonts w:cs="Arial"/>
          <w:i/>
          <w:iCs/>
          <w:szCs w:val="18"/>
        </w:rPr>
        <w:t>: The process safety dashboard</w:t>
      </w:r>
      <w:r w:rsidRPr="00E34781">
        <w:rPr>
          <w:rFonts w:cs="Arial"/>
          <w:szCs w:val="18"/>
        </w:rPr>
        <w:tab/>
      </w:r>
      <w:r w:rsidRPr="00E34781">
        <w:rPr>
          <w:rFonts w:cs="Arial"/>
          <w:i/>
          <w:iCs/>
          <w:szCs w:val="18"/>
        </w:rPr>
        <w:t xml:space="preserve">Figure </w:t>
      </w:r>
      <w:r w:rsidR="00561885">
        <w:rPr>
          <w:rFonts w:cs="Arial"/>
          <w:i/>
          <w:iCs/>
          <w:szCs w:val="18"/>
        </w:rPr>
        <w:t>6</w:t>
      </w:r>
      <w:r w:rsidRPr="00E34781">
        <w:rPr>
          <w:rFonts w:cs="Arial"/>
          <w:i/>
          <w:iCs/>
          <w:szCs w:val="18"/>
        </w:rPr>
        <w:t>: The process safety dashboard of the ‘reformer and CO shift’ section of ammonia plant</w:t>
      </w:r>
    </w:p>
    <w:p w14:paraId="2BB07F50" w14:textId="77777777" w:rsidR="00E34781" w:rsidRPr="00E34781" w:rsidRDefault="00E34781" w:rsidP="00E34781">
      <w:pPr>
        <w:rPr>
          <w:rFonts w:cs="Arial"/>
          <w:szCs w:val="18"/>
        </w:rPr>
      </w:pPr>
      <w:r w:rsidRPr="00E34781">
        <w:rPr>
          <w:rFonts w:cs="Arial"/>
          <w:noProof/>
          <w:szCs w:val="18"/>
        </w:rPr>
        <w:drawing>
          <wp:anchor distT="0" distB="0" distL="114300" distR="114300" simplePos="0" relativeHeight="251659264" behindDoc="1" locked="0" layoutInCell="1" allowOverlap="1" wp14:anchorId="1D5A686C" wp14:editId="3064C04A">
            <wp:simplePos x="0" y="0"/>
            <wp:positionH relativeFrom="column">
              <wp:posOffset>17747</wp:posOffset>
            </wp:positionH>
            <wp:positionV relativeFrom="paragraph">
              <wp:posOffset>20888</wp:posOffset>
            </wp:positionV>
            <wp:extent cx="3117181" cy="836429"/>
            <wp:effectExtent l="19050" t="19050" r="26670" b="20955"/>
            <wp:wrapTight wrapText="bothSides">
              <wp:wrapPolygon edited="0">
                <wp:start x="-132" y="-492"/>
                <wp:lineTo x="-132" y="21649"/>
                <wp:lineTo x="21653" y="21649"/>
                <wp:lineTo x="21653" y="-492"/>
                <wp:lineTo x="-132" y="-492"/>
              </wp:wrapPolygon>
            </wp:wrapTight>
            <wp:docPr id="35" name="Picture 3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verview_v3 - verkleind.jpg"/>
                    <pic:cNvPicPr/>
                  </pic:nvPicPr>
                  <pic:blipFill rotWithShape="1">
                    <a:blip r:embed="rId14" cstate="print">
                      <a:extLst>
                        <a:ext uri="{28A0092B-C50C-407E-A947-70E740481C1C}">
                          <a14:useLocalDpi xmlns:a14="http://schemas.microsoft.com/office/drawing/2010/main" val="0"/>
                        </a:ext>
                      </a:extLst>
                    </a:blip>
                    <a:srcRect l="1974" t="6186" r="1807" b="6743"/>
                    <a:stretch/>
                  </pic:blipFill>
                  <pic:spPr bwMode="auto">
                    <a:xfrm>
                      <a:off x="0" y="0"/>
                      <a:ext cx="3117181" cy="836429"/>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r w:rsidRPr="00E34781">
        <w:rPr>
          <w:rFonts w:cs="Arial"/>
          <w:noProof/>
          <w:szCs w:val="18"/>
        </w:rPr>
        <w:drawing>
          <wp:inline distT="0" distB="0" distL="0" distR="0" wp14:anchorId="2431B48C" wp14:editId="21E81449">
            <wp:extent cx="2106075" cy="1503646"/>
            <wp:effectExtent l="19050" t="19050" r="27940" b="20955"/>
            <wp:docPr id="36" name="Picture 3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eka1_v2 - verkleind.jpg"/>
                    <pic:cNvPicPr/>
                  </pic:nvPicPr>
                  <pic:blipFill rotWithShape="1">
                    <a:blip r:embed="rId15" cstate="print">
                      <a:extLst>
                        <a:ext uri="{28A0092B-C50C-407E-A947-70E740481C1C}">
                          <a14:useLocalDpi xmlns:a14="http://schemas.microsoft.com/office/drawing/2010/main" val="0"/>
                        </a:ext>
                      </a:extLst>
                    </a:blip>
                    <a:srcRect l="5638" t="4322" r="4692" b="6131"/>
                    <a:stretch/>
                  </pic:blipFill>
                  <pic:spPr bwMode="auto">
                    <a:xfrm>
                      <a:off x="0" y="0"/>
                      <a:ext cx="2137001" cy="1525726"/>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D10DB1C" w14:textId="75259DBB" w:rsidR="00E34781" w:rsidRPr="00E34781" w:rsidRDefault="00E34781" w:rsidP="00E34781">
      <w:pPr>
        <w:spacing w:before="240" w:after="240"/>
        <w:rPr>
          <w:rFonts w:cs="Arial"/>
          <w:i/>
          <w:iCs/>
          <w:szCs w:val="18"/>
        </w:rPr>
      </w:pPr>
      <w:r w:rsidRPr="00E34781">
        <w:rPr>
          <w:rFonts w:cs="Arial"/>
          <w:i/>
          <w:iCs/>
          <w:szCs w:val="18"/>
        </w:rPr>
        <w:t xml:space="preserve">Figure </w:t>
      </w:r>
      <w:r w:rsidR="00561885">
        <w:rPr>
          <w:rFonts w:cs="Arial"/>
          <w:i/>
          <w:iCs/>
          <w:szCs w:val="18"/>
        </w:rPr>
        <w:t>7</w:t>
      </w:r>
      <w:r w:rsidRPr="00E34781">
        <w:rPr>
          <w:rFonts w:cs="Arial"/>
          <w:i/>
          <w:iCs/>
          <w:szCs w:val="18"/>
        </w:rPr>
        <w:t>:The process safety dashboard of the post reformer</w:t>
      </w:r>
      <w:r w:rsidR="00196954">
        <w:rPr>
          <w:rFonts w:cs="Arial"/>
          <w:i/>
          <w:iCs/>
          <w:szCs w:val="18"/>
        </w:rPr>
        <w:t xml:space="preserve"> with multiple scenarios</w:t>
      </w:r>
    </w:p>
    <w:p w14:paraId="7AB279BD" w14:textId="77777777" w:rsidR="00E34781" w:rsidRPr="00E34781" w:rsidRDefault="00E34781" w:rsidP="00E34781">
      <w:pPr>
        <w:jc w:val="center"/>
        <w:rPr>
          <w:rFonts w:cs="Arial"/>
          <w:szCs w:val="18"/>
        </w:rPr>
      </w:pPr>
      <w:r w:rsidRPr="00E34781">
        <w:rPr>
          <w:rFonts w:cs="Arial"/>
          <w:noProof/>
          <w:szCs w:val="18"/>
        </w:rPr>
        <w:drawing>
          <wp:inline distT="0" distB="0" distL="0" distR="0" wp14:anchorId="5F5EFB8D" wp14:editId="59E5318E">
            <wp:extent cx="4220077" cy="1682197"/>
            <wp:effectExtent l="19050" t="19050" r="28575" b="13335"/>
            <wp:docPr id="37" name="Picture 3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3102v4 - verkleind.jpg"/>
                    <pic:cNvPicPr/>
                  </pic:nvPicPr>
                  <pic:blipFill rotWithShape="1">
                    <a:blip r:embed="rId16" cstate="print">
                      <a:extLst>
                        <a:ext uri="{28A0092B-C50C-407E-A947-70E740481C1C}">
                          <a14:useLocalDpi xmlns:a14="http://schemas.microsoft.com/office/drawing/2010/main" val="0"/>
                        </a:ext>
                      </a:extLst>
                    </a:blip>
                    <a:srcRect l="1874" t="2939" r="2406" b="4571"/>
                    <a:stretch/>
                  </pic:blipFill>
                  <pic:spPr bwMode="auto">
                    <a:xfrm>
                      <a:off x="0" y="0"/>
                      <a:ext cx="4242609" cy="1691179"/>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BF54D2F" w14:textId="77777777" w:rsidR="00E34781" w:rsidRPr="00E34781" w:rsidRDefault="00E34781" w:rsidP="00E34781">
      <w:pPr>
        <w:pStyle w:val="Kop2"/>
        <w:spacing w:before="240" w:after="120"/>
        <w:rPr>
          <w:rFonts w:ascii="Arial" w:hAnsi="Arial" w:cs="Arial"/>
          <w:b w:val="0"/>
          <w:bCs w:val="0"/>
          <w:color w:val="auto"/>
          <w:sz w:val="18"/>
          <w:szCs w:val="18"/>
        </w:rPr>
      </w:pPr>
      <w:bookmarkStart w:id="4" w:name="_Toc83582615"/>
      <w:r w:rsidRPr="00E34781">
        <w:rPr>
          <w:rFonts w:ascii="Arial" w:hAnsi="Arial" w:cs="Arial"/>
          <w:color w:val="auto"/>
          <w:sz w:val="18"/>
          <w:szCs w:val="18"/>
        </w:rPr>
        <w:t>4 Discussion</w:t>
      </w:r>
      <w:bookmarkEnd w:id="4"/>
    </w:p>
    <w:p w14:paraId="269D64E3" w14:textId="77777777" w:rsidR="00795717" w:rsidRDefault="00E34781" w:rsidP="00E34781">
      <w:pPr>
        <w:rPr>
          <w:rFonts w:cs="Arial"/>
          <w:szCs w:val="18"/>
        </w:rPr>
      </w:pPr>
      <w:r w:rsidRPr="00E34781">
        <w:rPr>
          <w:rFonts w:cs="Arial"/>
          <w:szCs w:val="18"/>
        </w:rPr>
        <w:t xml:space="preserve">This chapter shows that it is possible to give a qualitative estimate of the likelihood of the central event based on the preventive barrier status. However, the presented model has a few limitations. Barriers usually consist of 3 elements: a sensor, a decision maker, and a final element. All three must be monitored to determine the status of the (preventive) barrier. In particular, the final element does not always have self-diagnosis, so it cannot be foreseen whether this barrier element is overridden or defective. </w:t>
      </w:r>
    </w:p>
    <w:p w14:paraId="0CFF941A" w14:textId="77777777" w:rsidR="00795717" w:rsidRDefault="00795717" w:rsidP="00E34781">
      <w:pPr>
        <w:rPr>
          <w:rFonts w:cs="Arial"/>
          <w:szCs w:val="18"/>
        </w:rPr>
      </w:pPr>
    </w:p>
    <w:p w14:paraId="08EC9F33" w14:textId="314EF4DC" w:rsidR="00E34781" w:rsidRPr="00E34781" w:rsidRDefault="00E34781" w:rsidP="00E34781">
      <w:pPr>
        <w:rPr>
          <w:rFonts w:cs="Arial"/>
          <w:szCs w:val="18"/>
        </w:rPr>
      </w:pPr>
      <w:r w:rsidRPr="00E34781">
        <w:rPr>
          <w:rFonts w:cs="Arial"/>
          <w:szCs w:val="18"/>
        </w:rPr>
        <w:t>If a barrier consists of an alarm, a (safety-critical) instruction and an operator intervention, a similar problem occurs. The trustworthiness of the operator is difficult to measure. Has the operator seen the alarm and understood the problem? Does he/she know how to act? Is he/she not too busy with other tasks? The failure rate regarding operator intervention is usually much higher than the failure rate of sensors. Hence, the reduction of equation U(t) = 1 - e</w:t>
      </w:r>
      <w:r w:rsidRPr="00E34781">
        <w:rPr>
          <w:rFonts w:cs="Arial"/>
          <w:szCs w:val="18"/>
          <w:vertAlign w:val="superscript"/>
        </w:rPr>
        <w:t>-</w:t>
      </w:r>
      <w:proofErr w:type="spellStart"/>
      <w:r w:rsidRPr="00E34781">
        <w:rPr>
          <w:rFonts w:cs="Arial"/>
          <w:szCs w:val="18"/>
          <w:vertAlign w:val="superscript"/>
        </w:rPr>
        <w:t>λt</w:t>
      </w:r>
      <w:proofErr w:type="spellEnd"/>
      <w:r w:rsidRPr="00E34781">
        <w:rPr>
          <w:rFonts w:cs="Arial"/>
          <w:szCs w:val="18"/>
        </w:rPr>
        <w:t xml:space="preserve"> to a widely used, simplified sawtooth of </w:t>
      </w:r>
      <w:proofErr w:type="spellStart"/>
      <w:r w:rsidRPr="00E34781">
        <w:rPr>
          <w:rFonts w:cs="Arial"/>
          <w:szCs w:val="18"/>
        </w:rPr>
        <w:t>λt</w:t>
      </w:r>
      <w:proofErr w:type="spellEnd"/>
      <w:r w:rsidRPr="00E34781">
        <w:rPr>
          <w:rFonts w:cs="Arial"/>
          <w:szCs w:val="18"/>
        </w:rPr>
        <w:t xml:space="preserve"> can not be applied as </w:t>
      </w:r>
      <w:proofErr w:type="spellStart"/>
      <w:r w:rsidRPr="00E34781">
        <w:rPr>
          <w:rFonts w:cs="Arial"/>
          <w:szCs w:val="18"/>
        </w:rPr>
        <w:t>λt</w:t>
      </w:r>
      <w:proofErr w:type="spellEnd"/>
      <w:r w:rsidRPr="00E34781">
        <w:rPr>
          <w:rFonts w:cs="Arial"/>
          <w:szCs w:val="18"/>
        </w:rPr>
        <w:t xml:space="preserve"> is not smaller than 0.01. In other words, </w:t>
      </w:r>
      <w:r w:rsidR="006971C5" w:rsidRPr="00CA148E">
        <w:rPr>
          <w:rFonts w:cs="Arial"/>
          <w:color w:val="000000"/>
          <w:lang w:eastAsia="nl-NL"/>
        </w:rPr>
        <w:t>when applying Table 2 to human intervention, care should be taken</w:t>
      </w:r>
      <w:r w:rsidR="006971C5" w:rsidRPr="00E34781">
        <w:rPr>
          <w:rFonts w:cs="Arial"/>
          <w:szCs w:val="18"/>
        </w:rPr>
        <w:t xml:space="preserve"> </w:t>
      </w:r>
    </w:p>
    <w:p w14:paraId="3A59C3AD" w14:textId="77777777" w:rsidR="00E34781" w:rsidRPr="00E34781" w:rsidRDefault="00E34781" w:rsidP="00E34781">
      <w:pPr>
        <w:rPr>
          <w:rFonts w:cs="Arial"/>
          <w:szCs w:val="18"/>
        </w:rPr>
      </w:pPr>
    </w:p>
    <w:p w14:paraId="2FFA5D3F" w14:textId="77777777" w:rsidR="00E34781" w:rsidRPr="00E34781" w:rsidRDefault="00E34781" w:rsidP="00E34781">
      <w:pPr>
        <w:rPr>
          <w:rFonts w:cs="Arial"/>
          <w:szCs w:val="18"/>
        </w:rPr>
      </w:pPr>
      <w:r w:rsidRPr="00E34781">
        <w:rPr>
          <w:rFonts w:cs="Arial"/>
          <w:szCs w:val="18"/>
        </w:rPr>
        <w:t xml:space="preserve">Proper and timely maintenance, inspection and testing may not always guarantee the trustworthiness of barriers. Clearly, maintenance should be performed according to the manufacturer’s guidelines and by competent personnel, but that does not mean a 100% safe barrier system. It is recommended to set up a registration system for safety critical equipment that records the findings of its maintenance, inspection and testing. </w:t>
      </w:r>
    </w:p>
    <w:p w14:paraId="32D8008C" w14:textId="77777777" w:rsidR="00E34781" w:rsidRPr="00E34781" w:rsidRDefault="00E34781" w:rsidP="00E34781">
      <w:pPr>
        <w:rPr>
          <w:rFonts w:cs="Arial"/>
          <w:szCs w:val="18"/>
        </w:rPr>
      </w:pPr>
    </w:p>
    <w:p w14:paraId="5B6877E7" w14:textId="23C3A1A4" w:rsidR="00E34781" w:rsidRPr="00E34781" w:rsidRDefault="00E34781" w:rsidP="00E34781">
      <w:pPr>
        <w:rPr>
          <w:rFonts w:cs="Arial"/>
          <w:szCs w:val="18"/>
        </w:rPr>
      </w:pPr>
    </w:p>
    <w:p w14:paraId="51CCBA53" w14:textId="77777777" w:rsidR="00E34781" w:rsidRPr="00E34781" w:rsidRDefault="00E34781" w:rsidP="00E34781">
      <w:pPr>
        <w:rPr>
          <w:rFonts w:cs="Arial"/>
          <w:szCs w:val="18"/>
        </w:rPr>
      </w:pPr>
      <w:r w:rsidRPr="00E34781">
        <w:rPr>
          <w:rFonts w:cs="Arial"/>
          <w:szCs w:val="18"/>
        </w:rPr>
        <w:lastRenderedPageBreak/>
        <w:t>Finally, it should be emphasised that a scenario only develops when it has started. The chance of a central event does not only depend on the barrier status, but also on the chance that the 'initiating event' occurs. This study focusses on the barrier system but could be extended with indicators on the initiating events, such as (active) controls. This would provide a solution for barrier systems that consist of few barriers only.</w:t>
      </w:r>
    </w:p>
    <w:p w14:paraId="3614E116" w14:textId="77777777" w:rsidR="00E34781" w:rsidRPr="00E34781" w:rsidRDefault="00E34781" w:rsidP="00E34781">
      <w:pPr>
        <w:pStyle w:val="Kop2"/>
        <w:spacing w:before="240" w:after="120"/>
        <w:rPr>
          <w:rFonts w:ascii="Arial" w:hAnsi="Arial" w:cs="Arial"/>
          <w:b w:val="0"/>
          <w:bCs w:val="0"/>
          <w:color w:val="auto"/>
          <w:sz w:val="18"/>
          <w:szCs w:val="18"/>
        </w:rPr>
      </w:pPr>
      <w:bookmarkStart w:id="5" w:name="_Toc83582616"/>
      <w:r w:rsidRPr="00E34781">
        <w:rPr>
          <w:rFonts w:ascii="Arial" w:hAnsi="Arial" w:cs="Arial"/>
          <w:color w:val="auto"/>
          <w:sz w:val="18"/>
          <w:szCs w:val="18"/>
        </w:rPr>
        <w:t>5 Conclusions</w:t>
      </w:r>
      <w:bookmarkEnd w:id="5"/>
    </w:p>
    <w:p w14:paraId="5A0BE826" w14:textId="73F1D145" w:rsidR="00E34781" w:rsidRDefault="00E34781" w:rsidP="00E34781">
      <w:pPr>
        <w:rPr>
          <w:rFonts w:cs="Arial"/>
          <w:szCs w:val="18"/>
        </w:rPr>
      </w:pPr>
      <w:r w:rsidRPr="00E34781">
        <w:rPr>
          <w:rFonts w:cs="Arial"/>
          <w:szCs w:val="18"/>
        </w:rPr>
        <w:t xml:space="preserve">A barrier system is defined as a set of existing barriers that must prevent causes from developing into consequences. The barrier system’s status can be derived from the parameters reliability/availability and effectiveness. Both parameters are sensitive to change, which is considered </w:t>
      </w:r>
      <w:r w:rsidR="006971C5">
        <w:rPr>
          <w:rFonts w:cs="Arial"/>
          <w:szCs w:val="18"/>
        </w:rPr>
        <w:t xml:space="preserve">as </w:t>
      </w:r>
      <w:r w:rsidRPr="00E34781">
        <w:rPr>
          <w:rFonts w:cs="Arial"/>
          <w:szCs w:val="18"/>
        </w:rPr>
        <w:t xml:space="preserve">an important indicator criterion. An indicator – called preventive barrier indicator – has been developed from these parameters. From the example the preventive barrier indicator has proven to monitor the level of safety, and enable the operators to decide where and which action is necessary. The preventive barrier indicator shows the development and likelihood of the scenario, which is not an absolute value, but rather an indication of the change in the </w:t>
      </w:r>
      <w:r w:rsidRPr="00E34781">
        <w:rPr>
          <w:rFonts w:cs="Arial"/>
          <w:i/>
          <w:iCs/>
          <w:szCs w:val="18"/>
        </w:rPr>
        <w:t>status quo</w:t>
      </w:r>
      <w:r w:rsidRPr="00E34781">
        <w:rPr>
          <w:rFonts w:cs="Arial"/>
          <w:szCs w:val="18"/>
        </w:rPr>
        <w:t xml:space="preserve"> that should initiate further action. </w:t>
      </w:r>
    </w:p>
    <w:p w14:paraId="3FFEC46F" w14:textId="77777777" w:rsidR="00C41BC9" w:rsidRPr="00E34781" w:rsidRDefault="00C41BC9" w:rsidP="00E34781">
      <w:pPr>
        <w:rPr>
          <w:rFonts w:cs="Arial"/>
          <w:szCs w:val="18"/>
        </w:rPr>
      </w:pPr>
    </w:p>
    <w:p w14:paraId="15D5EDDF" w14:textId="77777777" w:rsidR="00E34781" w:rsidRPr="00E34781" w:rsidRDefault="00E34781" w:rsidP="00E34781">
      <w:pPr>
        <w:rPr>
          <w:rFonts w:cs="Arial"/>
          <w:szCs w:val="18"/>
        </w:rPr>
      </w:pPr>
      <w:r w:rsidRPr="00E34781">
        <w:rPr>
          <w:rFonts w:cs="Arial"/>
          <w:szCs w:val="18"/>
        </w:rPr>
        <w:t>Many incidents did not happen because a process value was extremely out of range, but rather because of a rare combination of deviating values. That is perhaps one of the reasons that the number of major process safety incidents in the process industry is low. It is better to look at the more frequent "precursor" incidents to measure safety (Hopkins, 2009). If the quality parameters of the barriers are incorporated in an automated system, the preventive barrier indicator can be calculated and displayed in real time. This is different for technical changes which are not automatically notified as they will have to be entered manually. A future validation, performed through retrospective research based on several (near) incidents, will have to show to what extent the preventive barrier indicator provides timely insight into the likelihood and development of the accident scenarios. Further research is needed to design indicators at other levels that can provide information on major accident processes, starting with the management delivery system as the first higher aggregation level.</w:t>
      </w:r>
    </w:p>
    <w:p w14:paraId="4B134559" w14:textId="67E2659B" w:rsidR="00E34781" w:rsidRPr="00CE2A51" w:rsidRDefault="00E34781" w:rsidP="00E34781">
      <w:pPr>
        <w:pStyle w:val="Kop2"/>
        <w:spacing w:before="240" w:after="120"/>
        <w:rPr>
          <w:rFonts w:ascii="Arial" w:hAnsi="Arial" w:cs="Arial"/>
          <w:b w:val="0"/>
          <w:bCs w:val="0"/>
          <w:color w:val="auto"/>
          <w:sz w:val="18"/>
          <w:szCs w:val="18"/>
          <w:lang w:val="nl-NL"/>
        </w:rPr>
      </w:pPr>
      <w:bookmarkStart w:id="6" w:name="_Toc83582617"/>
      <w:proofErr w:type="spellStart"/>
      <w:r w:rsidRPr="00CE2A51">
        <w:rPr>
          <w:rFonts w:ascii="Arial" w:hAnsi="Arial" w:cs="Arial"/>
          <w:color w:val="auto"/>
          <w:sz w:val="18"/>
          <w:szCs w:val="18"/>
          <w:lang w:val="nl-NL"/>
        </w:rPr>
        <w:t>References</w:t>
      </w:r>
      <w:bookmarkEnd w:id="6"/>
      <w:proofErr w:type="spellEnd"/>
    </w:p>
    <w:p w14:paraId="3D585028" w14:textId="7360D75A" w:rsidR="00E34781" w:rsidRPr="00E34781" w:rsidRDefault="00E34781" w:rsidP="00E34781">
      <w:pPr>
        <w:ind w:left="284" w:hanging="284"/>
        <w:rPr>
          <w:rFonts w:cs="Arial"/>
          <w:szCs w:val="18"/>
        </w:rPr>
      </w:pPr>
      <w:r w:rsidRPr="00CE2A51">
        <w:rPr>
          <w:rFonts w:cs="Arial"/>
          <w:szCs w:val="18"/>
          <w:lang w:val="nl-NL"/>
        </w:rPr>
        <w:t xml:space="preserve">Guldenmund, F., </w:t>
      </w:r>
      <w:proofErr w:type="spellStart"/>
      <w:r w:rsidRPr="00CE2A51">
        <w:rPr>
          <w:rFonts w:cs="Arial"/>
          <w:szCs w:val="18"/>
          <w:lang w:val="nl-NL"/>
        </w:rPr>
        <w:t>Hale</w:t>
      </w:r>
      <w:proofErr w:type="spellEnd"/>
      <w:r w:rsidRPr="00CE2A51">
        <w:rPr>
          <w:rFonts w:cs="Arial"/>
          <w:szCs w:val="18"/>
          <w:lang w:val="nl-NL"/>
        </w:rPr>
        <w:t xml:space="preserve">, A., Goossens, L., Betten, J., &amp; </w:t>
      </w:r>
      <w:proofErr w:type="spellStart"/>
      <w:r w:rsidRPr="00CE2A51">
        <w:rPr>
          <w:rFonts w:cs="Arial"/>
          <w:szCs w:val="18"/>
          <w:lang w:val="nl-NL"/>
        </w:rPr>
        <w:t>Duijm</w:t>
      </w:r>
      <w:proofErr w:type="spellEnd"/>
      <w:r w:rsidRPr="00CE2A51">
        <w:rPr>
          <w:rFonts w:cs="Arial"/>
          <w:szCs w:val="18"/>
          <w:lang w:val="nl-NL"/>
        </w:rPr>
        <w:t xml:space="preserve">, N.J. (2006). </w:t>
      </w:r>
      <w:r w:rsidRPr="00E34781">
        <w:rPr>
          <w:rFonts w:cs="Arial"/>
          <w:szCs w:val="18"/>
        </w:rPr>
        <w:t xml:space="preserve">The development of an audit technique to assess the quality of safety barrier management. </w:t>
      </w:r>
      <w:r w:rsidRPr="00E34781">
        <w:rPr>
          <w:rFonts w:cs="Arial"/>
          <w:i/>
          <w:iCs/>
          <w:szCs w:val="18"/>
        </w:rPr>
        <w:t>Journal of Hazardous Materials, 130</w:t>
      </w:r>
      <w:r w:rsidRPr="00E34781">
        <w:rPr>
          <w:rFonts w:cs="Arial"/>
          <w:szCs w:val="18"/>
        </w:rPr>
        <w:t xml:space="preserve">, 234–241, </w:t>
      </w:r>
      <w:hyperlink r:id="rId17" w:history="1">
        <w:r w:rsidRPr="00E34781">
          <w:rPr>
            <w:rStyle w:val="Hyperlink"/>
            <w:rFonts w:cs="Arial"/>
            <w:szCs w:val="18"/>
          </w:rPr>
          <w:t>http://dx.doi.org/10.1016/j.jhazmat.2005.07.011</w:t>
        </w:r>
      </w:hyperlink>
      <w:r w:rsidR="006971C5">
        <w:rPr>
          <w:rStyle w:val="Hyperlink"/>
          <w:rFonts w:cs="Arial"/>
          <w:szCs w:val="18"/>
        </w:rPr>
        <w:t>.</w:t>
      </w:r>
    </w:p>
    <w:p w14:paraId="0007ECCC" w14:textId="6532950C" w:rsidR="00E34781" w:rsidRPr="00E34781" w:rsidRDefault="00E34781" w:rsidP="00C41BC9">
      <w:pPr>
        <w:ind w:left="284" w:hanging="284"/>
        <w:jc w:val="left"/>
        <w:rPr>
          <w:rFonts w:cs="Arial"/>
          <w:szCs w:val="18"/>
        </w:rPr>
      </w:pPr>
      <w:r w:rsidRPr="00E34781">
        <w:rPr>
          <w:rFonts w:cs="Arial"/>
          <w:szCs w:val="18"/>
        </w:rPr>
        <w:t xml:space="preserve">Hopkins, A. (2009). Thinking about process safety indicators. </w:t>
      </w:r>
      <w:r w:rsidRPr="00E34781">
        <w:rPr>
          <w:rFonts w:cs="Arial"/>
          <w:i/>
          <w:iCs/>
          <w:szCs w:val="18"/>
        </w:rPr>
        <w:t>Safety Science, 47</w:t>
      </w:r>
      <w:r w:rsidRPr="00E34781">
        <w:rPr>
          <w:rFonts w:cs="Arial"/>
          <w:szCs w:val="18"/>
        </w:rPr>
        <w:t xml:space="preserve">, 460–465, </w:t>
      </w:r>
      <w:hyperlink r:id="rId18" w:history="1">
        <w:r w:rsidRPr="00E34781">
          <w:rPr>
            <w:rStyle w:val="Hyperlink"/>
            <w:rFonts w:cs="Arial"/>
            <w:szCs w:val="18"/>
          </w:rPr>
          <w:t>http://dx.doi.org/10.1016/j.ssci.2007.12.006</w:t>
        </w:r>
      </w:hyperlink>
      <w:r w:rsidR="006971C5">
        <w:rPr>
          <w:rStyle w:val="Hyperlink"/>
          <w:rFonts w:cs="Arial"/>
          <w:szCs w:val="18"/>
        </w:rPr>
        <w:t>.</w:t>
      </w:r>
    </w:p>
    <w:p w14:paraId="4B13EE8E" w14:textId="608CE937" w:rsidR="00E34781" w:rsidRPr="00E34781" w:rsidRDefault="00E34781" w:rsidP="00E34781">
      <w:pPr>
        <w:ind w:left="284" w:hanging="284"/>
        <w:rPr>
          <w:rFonts w:cs="Arial"/>
          <w:szCs w:val="18"/>
        </w:rPr>
      </w:pPr>
      <w:r w:rsidRPr="00E34781">
        <w:rPr>
          <w:rFonts w:cs="Arial"/>
          <w:szCs w:val="18"/>
        </w:rPr>
        <w:t xml:space="preserve">IEC. (2016). </w:t>
      </w:r>
      <w:r w:rsidRPr="00E34781">
        <w:rPr>
          <w:rFonts w:cs="Arial"/>
          <w:i/>
          <w:iCs/>
          <w:szCs w:val="18"/>
        </w:rPr>
        <w:t>Functional safety – Safety instrumented systems for the process industry sector</w:t>
      </w:r>
      <w:r w:rsidRPr="00E34781">
        <w:rPr>
          <w:rFonts w:cs="Arial"/>
          <w:szCs w:val="18"/>
        </w:rPr>
        <w:t>. Genève, Switzerland: IEC</w:t>
      </w:r>
      <w:r w:rsidR="006971C5">
        <w:rPr>
          <w:rFonts w:cs="Arial"/>
          <w:szCs w:val="18"/>
        </w:rPr>
        <w:t>.</w:t>
      </w:r>
    </w:p>
    <w:p w14:paraId="56B38A03" w14:textId="18DBC67D" w:rsidR="00E34781" w:rsidRPr="00E34781" w:rsidRDefault="00E34781" w:rsidP="00E34781">
      <w:pPr>
        <w:ind w:left="284" w:hanging="284"/>
        <w:rPr>
          <w:rFonts w:cs="Arial"/>
          <w:szCs w:val="18"/>
        </w:rPr>
      </w:pPr>
      <w:r w:rsidRPr="00E34781">
        <w:rPr>
          <w:rFonts w:cs="Arial"/>
          <w:szCs w:val="18"/>
        </w:rPr>
        <w:t>Schmitz, P. (2020). Preventing major hazard accidents through barrier performance. Doctoral thesis, Delft University of Technology</w:t>
      </w:r>
      <w:r w:rsidR="007A27A1">
        <w:rPr>
          <w:rFonts w:cs="Arial"/>
          <w:szCs w:val="18"/>
        </w:rPr>
        <w:t xml:space="preserve">, </w:t>
      </w:r>
      <w:hyperlink r:id="rId19" w:history="1">
        <w:r w:rsidR="0095650A" w:rsidRPr="00B7156E">
          <w:rPr>
            <w:rStyle w:val="Hyperlink"/>
            <w:rFonts w:cs="Arial"/>
            <w:szCs w:val="18"/>
          </w:rPr>
          <w:t>https://repository.tudelft.nl/islandora/object/uuid%3A782fcd3e-0db4-42ee-965a-c180586759f4</w:t>
        </w:r>
      </w:hyperlink>
      <w:r w:rsidR="006971C5">
        <w:rPr>
          <w:rStyle w:val="Hyperlink"/>
          <w:rFonts w:cs="Arial"/>
          <w:szCs w:val="18"/>
        </w:rPr>
        <w:t>.</w:t>
      </w:r>
    </w:p>
    <w:p w14:paraId="40C2870E" w14:textId="425A6547" w:rsidR="00E34781" w:rsidRPr="00E34781" w:rsidRDefault="00E34781" w:rsidP="00E34781">
      <w:pPr>
        <w:ind w:left="284" w:hanging="284"/>
        <w:rPr>
          <w:rFonts w:cs="Arial"/>
          <w:szCs w:val="18"/>
        </w:rPr>
      </w:pPr>
      <w:r w:rsidRPr="00367704">
        <w:rPr>
          <w:rFonts w:cs="Arial"/>
          <w:szCs w:val="18"/>
          <w:lang w:val="nl-NL"/>
        </w:rPr>
        <w:t xml:space="preserve">Swuste, P., Theunissen, J., Schmitz, P., Reniers, G., &amp; Blokland, P. (2016). </w:t>
      </w:r>
      <w:r w:rsidRPr="00E34781">
        <w:rPr>
          <w:rFonts w:cs="Arial"/>
          <w:szCs w:val="18"/>
        </w:rPr>
        <w:t xml:space="preserve">Process safety indicators, a review of literature. </w:t>
      </w:r>
      <w:r w:rsidRPr="00E34781">
        <w:rPr>
          <w:rFonts w:cs="Arial"/>
          <w:i/>
          <w:iCs/>
          <w:szCs w:val="18"/>
        </w:rPr>
        <w:t>Journal of Loss Prevention in the Process Industries, 40</w:t>
      </w:r>
      <w:r w:rsidRPr="00E34781">
        <w:rPr>
          <w:rFonts w:cs="Arial"/>
          <w:szCs w:val="18"/>
        </w:rPr>
        <w:t xml:space="preserve">, 162–173, </w:t>
      </w:r>
      <w:hyperlink r:id="rId20" w:history="1">
        <w:r w:rsidRPr="00E34781">
          <w:rPr>
            <w:rStyle w:val="Hyperlink"/>
            <w:rFonts w:cs="Arial"/>
            <w:szCs w:val="18"/>
          </w:rPr>
          <w:t>http://dx.doi.org/10.1016/j.jlp.2015.12.020</w:t>
        </w:r>
      </w:hyperlink>
      <w:r w:rsidR="006971C5">
        <w:rPr>
          <w:rStyle w:val="Hyperlink"/>
          <w:rFonts w:cs="Arial"/>
          <w:szCs w:val="18"/>
        </w:rPr>
        <w:t>.</w:t>
      </w:r>
    </w:p>
    <w:p w14:paraId="01C4087E" w14:textId="20EC33A8" w:rsidR="00E34781" w:rsidRPr="00E34781" w:rsidRDefault="00E34781" w:rsidP="00E34781">
      <w:pPr>
        <w:ind w:left="284" w:hanging="284"/>
        <w:rPr>
          <w:rFonts w:cs="Arial"/>
          <w:szCs w:val="18"/>
        </w:rPr>
      </w:pPr>
      <w:r w:rsidRPr="000167DF">
        <w:rPr>
          <w:rFonts w:cs="Arial"/>
          <w:szCs w:val="18"/>
          <w:lang w:val="nl-NL"/>
        </w:rPr>
        <w:t>Swuste</w:t>
      </w:r>
      <w:r w:rsidR="00C41BC9" w:rsidRPr="000167DF">
        <w:rPr>
          <w:rFonts w:cs="Arial"/>
          <w:szCs w:val="18"/>
          <w:lang w:val="nl-NL"/>
        </w:rPr>
        <w:t>,</w:t>
      </w:r>
      <w:r w:rsidRPr="000167DF">
        <w:rPr>
          <w:rFonts w:cs="Arial"/>
          <w:szCs w:val="18"/>
          <w:lang w:val="nl-NL"/>
        </w:rPr>
        <w:t xml:space="preserve"> P</w:t>
      </w:r>
      <w:r w:rsidR="00C41BC9" w:rsidRPr="000167DF">
        <w:rPr>
          <w:rFonts w:cs="Arial"/>
          <w:szCs w:val="18"/>
          <w:lang w:val="nl-NL"/>
        </w:rPr>
        <w:t>.,</w:t>
      </w:r>
      <w:r w:rsidRPr="000167DF">
        <w:rPr>
          <w:rFonts w:cs="Arial"/>
          <w:szCs w:val="18"/>
          <w:lang w:val="nl-NL"/>
        </w:rPr>
        <w:t xml:space="preserve"> </w:t>
      </w:r>
      <w:proofErr w:type="spellStart"/>
      <w:r w:rsidRPr="000167DF">
        <w:rPr>
          <w:rFonts w:cs="Arial"/>
          <w:szCs w:val="18"/>
          <w:lang w:val="nl-NL"/>
        </w:rPr>
        <w:t>Nunen</w:t>
      </w:r>
      <w:proofErr w:type="spellEnd"/>
      <w:r w:rsidR="00C41BC9" w:rsidRPr="000167DF">
        <w:rPr>
          <w:rFonts w:cs="Arial"/>
          <w:szCs w:val="18"/>
          <w:lang w:val="nl-NL"/>
        </w:rPr>
        <w:t>,</w:t>
      </w:r>
      <w:r w:rsidRPr="000167DF">
        <w:rPr>
          <w:rFonts w:cs="Arial"/>
          <w:szCs w:val="18"/>
          <w:lang w:val="nl-NL"/>
        </w:rPr>
        <w:t xml:space="preserve"> K</w:t>
      </w:r>
      <w:r w:rsidR="00C41BC9" w:rsidRPr="000167DF">
        <w:rPr>
          <w:rFonts w:cs="Arial"/>
          <w:szCs w:val="18"/>
          <w:lang w:val="nl-NL"/>
        </w:rPr>
        <w:t>.</w:t>
      </w:r>
      <w:r w:rsidRPr="000167DF">
        <w:rPr>
          <w:rFonts w:cs="Arial"/>
          <w:szCs w:val="18"/>
          <w:lang w:val="nl-NL"/>
        </w:rPr>
        <w:t xml:space="preserve"> van</w:t>
      </w:r>
      <w:r w:rsidR="00C41BC9" w:rsidRPr="000167DF">
        <w:rPr>
          <w:rFonts w:cs="Arial"/>
          <w:szCs w:val="18"/>
          <w:lang w:val="nl-NL"/>
        </w:rPr>
        <w:t>.,</w:t>
      </w:r>
      <w:r w:rsidRPr="000167DF">
        <w:rPr>
          <w:rFonts w:cs="Arial"/>
          <w:szCs w:val="18"/>
          <w:lang w:val="nl-NL"/>
        </w:rPr>
        <w:t xml:space="preserve"> Schmitz</w:t>
      </w:r>
      <w:r w:rsidR="00C41BC9" w:rsidRPr="000167DF">
        <w:rPr>
          <w:rFonts w:cs="Arial"/>
          <w:szCs w:val="18"/>
          <w:lang w:val="nl-NL"/>
        </w:rPr>
        <w:t>,</w:t>
      </w:r>
      <w:r w:rsidRPr="000167DF">
        <w:rPr>
          <w:rFonts w:cs="Arial"/>
          <w:szCs w:val="18"/>
          <w:lang w:val="nl-NL"/>
        </w:rPr>
        <w:t xml:space="preserve"> P</w:t>
      </w:r>
      <w:r w:rsidR="00C41BC9" w:rsidRPr="000167DF">
        <w:rPr>
          <w:rFonts w:cs="Arial"/>
          <w:szCs w:val="18"/>
          <w:lang w:val="nl-NL"/>
        </w:rPr>
        <w:t>.,</w:t>
      </w:r>
      <w:r w:rsidRPr="000167DF">
        <w:rPr>
          <w:rFonts w:cs="Arial"/>
          <w:szCs w:val="18"/>
          <w:lang w:val="nl-NL"/>
        </w:rPr>
        <w:t xml:space="preserve"> Reniers</w:t>
      </w:r>
      <w:r w:rsidR="00C41BC9" w:rsidRPr="000167DF">
        <w:rPr>
          <w:rFonts w:cs="Arial"/>
          <w:szCs w:val="18"/>
          <w:lang w:val="nl-NL"/>
        </w:rPr>
        <w:t>,</w:t>
      </w:r>
      <w:r w:rsidRPr="000167DF">
        <w:rPr>
          <w:rFonts w:cs="Arial"/>
          <w:szCs w:val="18"/>
          <w:lang w:val="nl-NL"/>
        </w:rPr>
        <w:t xml:space="preserve"> G</w:t>
      </w:r>
      <w:r w:rsidR="00C41BC9" w:rsidRPr="000167DF">
        <w:rPr>
          <w:rFonts w:cs="Arial"/>
          <w:szCs w:val="18"/>
          <w:lang w:val="nl-NL"/>
        </w:rPr>
        <w:t>.</w:t>
      </w:r>
      <w:r w:rsidRPr="000167DF">
        <w:rPr>
          <w:rFonts w:cs="Arial"/>
          <w:szCs w:val="18"/>
          <w:lang w:val="nl-NL"/>
        </w:rPr>
        <w:t xml:space="preserve"> (2019)</w:t>
      </w:r>
      <w:r w:rsidR="000167DF" w:rsidRPr="000167DF">
        <w:rPr>
          <w:rFonts w:cs="Arial"/>
          <w:szCs w:val="18"/>
          <w:lang w:val="nl-NL"/>
        </w:rPr>
        <w:t>.</w:t>
      </w:r>
      <w:r w:rsidRPr="000167DF">
        <w:rPr>
          <w:rFonts w:cs="Arial"/>
          <w:szCs w:val="18"/>
          <w:lang w:val="nl-NL"/>
        </w:rPr>
        <w:t xml:space="preserve"> </w:t>
      </w:r>
      <w:r w:rsidRPr="00E34781">
        <w:rPr>
          <w:rFonts w:cs="Arial"/>
          <w:szCs w:val="18"/>
        </w:rPr>
        <w:t>Pro</w:t>
      </w:r>
      <w:r w:rsidR="00C41BC9">
        <w:rPr>
          <w:rFonts w:cs="Arial"/>
          <w:szCs w:val="18"/>
        </w:rPr>
        <w:t>c</w:t>
      </w:r>
      <w:r w:rsidRPr="00E34781">
        <w:rPr>
          <w:rFonts w:cs="Arial"/>
          <w:szCs w:val="18"/>
        </w:rPr>
        <w:t xml:space="preserve">ess safety indicators, how solid is the concept Chemical Engineering </w:t>
      </w:r>
      <w:r w:rsidR="00C41BC9">
        <w:rPr>
          <w:rFonts w:cs="Arial"/>
          <w:szCs w:val="18"/>
        </w:rPr>
        <w:t>T</w:t>
      </w:r>
      <w:r w:rsidRPr="00E34781">
        <w:rPr>
          <w:rFonts w:cs="Arial"/>
          <w:szCs w:val="18"/>
        </w:rPr>
        <w:t>ransactions 77</w:t>
      </w:r>
      <w:r w:rsidR="00273F10">
        <w:rPr>
          <w:rFonts w:cs="Arial"/>
          <w:szCs w:val="18"/>
        </w:rPr>
        <w:t xml:space="preserve">, </w:t>
      </w:r>
      <w:r w:rsidRPr="00E34781">
        <w:rPr>
          <w:rFonts w:cs="Arial"/>
          <w:szCs w:val="18"/>
        </w:rPr>
        <w:t>85-90</w:t>
      </w:r>
      <w:r w:rsidR="006971C5">
        <w:rPr>
          <w:rFonts w:cs="Arial"/>
          <w:szCs w:val="18"/>
        </w:rPr>
        <w:t>.</w:t>
      </w:r>
    </w:p>
    <w:p w14:paraId="68FD2EB7" w14:textId="208665DC" w:rsidR="00D7284D" w:rsidRPr="000167DF" w:rsidRDefault="00E34781" w:rsidP="000167DF">
      <w:pPr>
        <w:ind w:left="284" w:hanging="284"/>
        <w:rPr>
          <w:rFonts w:cs="Arial"/>
          <w:szCs w:val="18"/>
        </w:rPr>
      </w:pPr>
      <w:r w:rsidRPr="00E34781">
        <w:rPr>
          <w:rFonts w:cs="Arial"/>
          <w:szCs w:val="18"/>
        </w:rPr>
        <w:t xml:space="preserve">Visser K., </w:t>
      </w:r>
      <w:r w:rsidR="000167DF">
        <w:rPr>
          <w:rFonts w:cs="Arial"/>
          <w:szCs w:val="18"/>
        </w:rPr>
        <w:t>(</w:t>
      </w:r>
      <w:r w:rsidRPr="00E34781">
        <w:rPr>
          <w:rFonts w:cs="Arial"/>
          <w:szCs w:val="18"/>
        </w:rPr>
        <w:t>1998</w:t>
      </w:r>
      <w:r w:rsidR="000167DF">
        <w:rPr>
          <w:rFonts w:cs="Arial"/>
          <w:szCs w:val="18"/>
        </w:rPr>
        <w:t>).</w:t>
      </w:r>
      <w:r w:rsidRPr="00E34781">
        <w:rPr>
          <w:rFonts w:cs="Arial"/>
          <w:szCs w:val="18"/>
        </w:rPr>
        <w:t xml:space="preserve"> Developments in HSE management in oil and gas exploration and production, in: Hale A.,</w:t>
      </w:r>
      <w:proofErr w:type="spellStart"/>
      <w:r w:rsidRPr="00E34781">
        <w:rPr>
          <w:rFonts w:cs="Arial"/>
          <w:szCs w:val="18"/>
        </w:rPr>
        <w:t>Baram</w:t>
      </w:r>
      <w:proofErr w:type="spellEnd"/>
      <w:r w:rsidRPr="00E34781">
        <w:rPr>
          <w:rFonts w:cs="Arial"/>
          <w:szCs w:val="18"/>
        </w:rPr>
        <w:t xml:space="preserve"> M., (Eds.)</w:t>
      </w:r>
      <w:r w:rsidR="000167DF">
        <w:rPr>
          <w:rFonts w:cs="Arial"/>
          <w:szCs w:val="18"/>
        </w:rPr>
        <w:t>.</w:t>
      </w:r>
      <w:r w:rsidRPr="00E34781">
        <w:rPr>
          <w:rFonts w:cs="Arial"/>
          <w:szCs w:val="18"/>
        </w:rPr>
        <w:t xml:space="preserve"> Safety management, the challenge of change, p. 43-66. Pergamon, Amsterdam</w:t>
      </w:r>
      <w:bookmarkEnd w:id="0"/>
      <w:r w:rsidR="006971C5">
        <w:rPr>
          <w:rFonts w:cs="Arial"/>
          <w:szCs w:val="18"/>
        </w:rPr>
        <w:t>.</w:t>
      </w:r>
    </w:p>
    <w:sectPr w:rsidR="00D7284D" w:rsidRPr="000167DF"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D583" w14:textId="77777777" w:rsidR="003F0E92" w:rsidRDefault="003F0E92" w:rsidP="004F5E36">
      <w:r>
        <w:separator/>
      </w:r>
    </w:p>
  </w:endnote>
  <w:endnote w:type="continuationSeparator" w:id="0">
    <w:p w14:paraId="792B155D" w14:textId="77777777" w:rsidR="003F0E92" w:rsidRDefault="003F0E9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0762" w14:textId="77777777" w:rsidR="003F0E92" w:rsidRDefault="003F0E92" w:rsidP="004F5E36">
      <w:r>
        <w:separator/>
      </w:r>
    </w:p>
  </w:footnote>
  <w:footnote w:type="continuationSeparator" w:id="0">
    <w:p w14:paraId="12C67BE0" w14:textId="77777777" w:rsidR="003F0E92" w:rsidRDefault="003F0E9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Eenvoudigetabel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2"/>
  </w:num>
  <w:num w:numId="14">
    <w:abstractNumId w:val="17"/>
  </w:num>
  <w:num w:numId="15">
    <w:abstractNumId w:val="19"/>
  </w:num>
  <w:num w:numId="16">
    <w:abstractNumId w:val="18"/>
  </w:num>
  <w:num w:numId="17">
    <w:abstractNumId w:val="11"/>
  </w:num>
  <w:num w:numId="18">
    <w:abstractNumId w:val="12"/>
    <w:lvlOverride w:ilvl="0">
      <w:startOverride w:val="1"/>
    </w:lvlOverride>
  </w:num>
  <w:num w:numId="19">
    <w:abstractNumId w:val="15"/>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17CB"/>
    <w:rsid w:val="000167DF"/>
    <w:rsid w:val="0003148D"/>
    <w:rsid w:val="000368C3"/>
    <w:rsid w:val="00051566"/>
    <w:rsid w:val="00060259"/>
    <w:rsid w:val="00062A9A"/>
    <w:rsid w:val="00064E80"/>
    <w:rsid w:val="00065058"/>
    <w:rsid w:val="000707FF"/>
    <w:rsid w:val="00086C39"/>
    <w:rsid w:val="000A03B2"/>
    <w:rsid w:val="000B7474"/>
    <w:rsid w:val="000D34BE"/>
    <w:rsid w:val="000E102F"/>
    <w:rsid w:val="000E1B2B"/>
    <w:rsid w:val="000E36F1"/>
    <w:rsid w:val="000E3A73"/>
    <w:rsid w:val="000E414A"/>
    <w:rsid w:val="000F093C"/>
    <w:rsid w:val="000F787B"/>
    <w:rsid w:val="0012091F"/>
    <w:rsid w:val="00120FB1"/>
    <w:rsid w:val="00126BC2"/>
    <w:rsid w:val="001308B6"/>
    <w:rsid w:val="0013121F"/>
    <w:rsid w:val="00131FE6"/>
    <w:rsid w:val="0013263F"/>
    <w:rsid w:val="00134DE4"/>
    <w:rsid w:val="0014034D"/>
    <w:rsid w:val="0014464F"/>
    <w:rsid w:val="00150E59"/>
    <w:rsid w:val="00152DE3"/>
    <w:rsid w:val="00164CF9"/>
    <w:rsid w:val="00180860"/>
    <w:rsid w:val="00184AD6"/>
    <w:rsid w:val="00196954"/>
    <w:rsid w:val="001A5B78"/>
    <w:rsid w:val="001B0349"/>
    <w:rsid w:val="001B65C1"/>
    <w:rsid w:val="001C684B"/>
    <w:rsid w:val="001D2C2F"/>
    <w:rsid w:val="001D3861"/>
    <w:rsid w:val="001D53FC"/>
    <w:rsid w:val="001F42A5"/>
    <w:rsid w:val="001F7B9D"/>
    <w:rsid w:val="002224B4"/>
    <w:rsid w:val="002447EF"/>
    <w:rsid w:val="00251550"/>
    <w:rsid w:val="00260860"/>
    <w:rsid w:val="00263B05"/>
    <w:rsid w:val="0027221A"/>
    <w:rsid w:val="00273F10"/>
    <w:rsid w:val="00275B61"/>
    <w:rsid w:val="00282656"/>
    <w:rsid w:val="00296B83"/>
    <w:rsid w:val="002B78CE"/>
    <w:rsid w:val="002C2FB6"/>
    <w:rsid w:val="003009B7"/>
    <w:rsid w:val="00300E56"/>
    <w:rsid w:val="0030469C"/>
    <w:rsid w:val="00311D68"/>
    <w:rsid w:val="00321CA6"/>
    <w:rsid w:val="003249D4"/>
    <w:rsid w:val="00334C09"/>
    <w:rsid w:val="00367704"/>
    <w:rsid w:val="003723D4"/>
    <w:rsid w:val="00383F4B"/>
    <w:rsid w:val="00384CC8"/>
    <w:rsid w:val="003871FD"/>
    <w:rsid w:val="00391AAB"/>
    <w:rsid w:val="003A1E30"/>
    <w:rsid w:val="003A7D1C"/>
    <w:rsid w:val="003B304B"/>
    <w:rsid w:val="003B3146"/>
    <w:rsid w:val="003B493C"/>
    <w:rsid w:val="003F015E"/>
    <w:rsid w:val="003F0E92"/>
    <w:rsid w:val="00400414"/>
    <w:rsid w:val="0041446B"/>
    <w:rsid w:val="0044329C"/>
    <w:rsid w:val="004577FE"/>
    <w:rsid w:val="00457B9C"/>
    <w:rsid w:val="0046164A"/>
    <w:rsid w:val="004628D2"/>
    <w:rsid w:val="00462DCD"/>
    <w:rsid w:val="004648AD"/>
    <w:rsid w:val="004703A9"/>
    <w:rsid w:val="004760DE"/>
    <w:rsid w:val="0048346A"/>
    <w:rsid w:val="004A004E"/>
    <w:rsid w:val="004A24CF"/>
    <w:rsid w:val="004B4B7B"/>
    <w:rsid w:val="004C3D1D"/>
    <w:rsid w:val="004C7913"/>
    <w:rsid w:val="004E4DD6"/>
    <w:rsid w:val="004F5E36"/>
    <w:rsid w:val="00507B47"/>
    <w:rsid w:val="00507CC9"/>
    <w:rsid w:val="005119A5"/>
    <w:rsid w:val="00516D93"/>
    <w:rsid w:val="005278B7"/>
    <w:rsid w:val="00532016"/>
    <w:rsid w:val="005346C8"/>
    <w:rsid w:val="00543A7F"/>
    <w:rsid w:val="00543E7D"/>
    <w:rsid w:val="00547A68"/>
    <w:rsid w:val="005531C9"/>
    <w:rsid w:val="00561885"/>
    <w:rsid w:val="00584CD8"/>
    <w:rsid w:val="005927DB"/>
    <w:rsid w:val="005A3E9C"/>
    <w:rsid w:val="005A67D6"/>
    <w:rsid w:val="005B2110"/>
    <w:rsid w:val="005B61E6"/>
    <w:rsid w:val="005C77E1"/>
    <w:rsid w:val="005D6A2F"/>
    <w:rsid w:val="005E1A82"/>
    <w:rsid w:val="005E794C"/>
    <w:rsid w:val="005F0A28"/>
    <w:rsid w:val="005F0E5E"/>
    <w:rsid w:val="005F5BAE"/>
    <w:rsid w:val="00600535"/>
    <w:rsid w:val="00601C1F"/>
    <w:rsid w:val="00602576"/>
    <w:rsid w:val="00610CD6"/>
    <w:rsid w:val="00620C11"/>
    <w:rsid w:val="00620DEE"/>
    <w:rsid w:val="00621F92"/>
    <w:rsid w:val="00625639"/>
    <w:rsid w:val="0063138B"/>
    <w:rsid w:val="00631B33"/>
    <w:rsid w:val="0064184D"/>
    <w:rsid w:val="00660E3E"/>
    <w:rsid w:val="00662E74"/>
    <w:rsid w:val="00680C23"/>
    <w:rsid w:val="00693766"/>
    <w:rsid w:val="006971C5"/>
    <w:rsid w:val="006A3281"/>
    <w:rsid w:val="006B4888"/>
    <w:rsid w:val="006B79F8"/>
    <w:rsid w:val="006C170B"/>
    <w:rsid w:val="006C2E45"/>
    <w:rsid w:val="006C359C"/>
    <w:rsid w:val="006C5579"/>
    <w:rsid w:val="006D42DD"/>
    <w:rsid w:val="006E737D"/>
    <w:rsid w:val="00720A24"/>
    <w:rsid w:val="00732386"/>
    <w:rsid w:val="007447F3"/>
    <w:rsid w:val="0075499F"/>
    <w:rsid w:val="007661C8"/>
    <w:rsid w:val="0077098D"/>
    <w:rsid w:val="00795717"/>
    <w:rsid w:val="007A27A1"/>
    <w:rsid w:val="007A7BBA"/>
    <w:rsid w:val="007B0C50"/>
    <w:rsid w:val="007C1A43"/>
    <w:rsid w:val="007F7F94"/>
    <w:rsid w:val="00813288"/>
    <w:rsid w:val="008168FC"/>
    <w:rsid w:val="00830996"/>
    <w:rsid w:val="008345F1"/>
    <w:rsid w:val="00853057"/>
    <w:rsid w:val="00865B07"/>
    <w:rsid w:val="008667EA"/>
    <w:rsid w:val="00873D70"/>
    <w:rsid w:val="0087637F"/>
    <w:rsid w:val="00892AD5"/>
    <w:rsid w:val="008A0432"/>
    <w:rsid w:val="008A1512"/>
    <w:rsid w:val="008D433B"/>
    <w:rsid w:val="008E566E"/>
    <w:rsid w:val="008F0178"/>
    <w:rsid w:val="0090161A"/>
    <w:rsid w:val="009018DD"/>
    <w:rsid w:val="00901EB6"/>
    <w:rsid w:val="00904C62"/>
    <w:rsid w:val="00924DAC"/>
    <w:rsid w:val="00927058"/>
    <w:rsid w:val="009450CE"/>
    <w:rsid w:val="00947179"/>
    <w:rsid w:val="00950171"/>
    <w:rsid w:val="0095164B"/>
    <w:rsid w:val="00954090"/>
    <w:rsid w:val="0095650A"/>
    <w:rsid w:val="009573E7"/>
    <w:rsid w:val="00963E05"/>
    <w:rsid w:val="009657DA"/>
    <w:rsid w:val="00967D54"/>
    <w:rsid w:val="009866EB"/>
    <w:rsid w:val="00993698"/>
    <w:rsid w:val="00996483"/>
    <w:rsid w:val="00996F5A"/>
    <w:rsid w:val="009B041A"/>
    <w:rsid w:val="009C7517"/>
    <w:rsid w:val="009C7C86"/>
    <w:rsid w:val="009C7DF7"/>
    <w:rsid w:val="009D2FF7"/>
    <w:rsid w:val="009E7884"/>
    <w:rsid w:val="009E788A"/>
    <w:rsid w:val="009F0E08"/>
    <w:rsid w:val="009F7F64"/>
    <w:rsid w:val="00A1763D"/>
    <w:rsid w:val="00A17CEC"/>
    <w:rsid w:val="00A27EF0"/>
    <w:rsid w:val="00A50B20"/>
    <w:rsid w:val="00A51390"/>
    <w:rsid w:val="00A60D13"/>
    <w:rsid w:val="00A72745"/>
    <w:rsid w:val="00A76EFC"/>
    <w:rsid w:val="00A91010"/>
    <w:rsid w:val="00A97F29"/>
    <w:rsid w:val="00AA702E"/>
    <w:rsid w:val="00AB0964"/>
    <w:rsid w:val="00AB5011"/>
    <w:rsid w:val="00AC7368"/>
    <w:rsid w:val="00AD16B9"/>
    <w:rsid w:val="00AE377D"/>
    <w:rsid w:val="00AE7707"/>
    <w:rsid w:val="00B00078"/>
    <w:rsid w:val="00B12C4C"/>
    <w:rsid w:val="00B17FBD"/>
    <w:rsid w:val="00B315A6"/>
    <w:rsid w:val="00B31813"/>
    <w:rsid w:val="00B33365"/>
    <w:rsid w:val="00B54BC6"/>
    <w:rsid w:val="00B57B36"/>
    <w:rsid w:val="00B8686D"/>
    <w:rsid w:val="00B86DCD"/>
    <w:rsid w:val="00BB00F8"/>
    <w:rsid w:val="00BC30C9"/>
    <w:rsid w:val="00BE3E58"/>
    <w:rsid w:val="00BF2E07"/>
    <w:rsid w:val="00C01616"/>
    <w:rsid w:val="00C0162B"/>
    <w:rsid w:val="00C345B1"/>
    <w:rsid w:val="00C40142"/>
    <w:rsid w:val="00C41BC9"/>
    <w:rsid w:val="00C47FBD"/>
    <w:rsid w:val="00C5025A"/>
    <w:rsid w:val="00C57182"/>
    <w:rsid w:val="00C57863"/>
    <w:rsid w:val="00C655FD"/>
    <w:rsid w:val="00C71FB5"/>
    <w:rsid w:val="00C870A8"/>
    <w:rsid w:val="00C94434"/>
    <w:rsid w:val="00CA0D75"/>
    <w:rsid w:val="00CA1C95"/>
    <w:rsid w:val="00CA5A9C"/>
    <w:rsid w:val="00CD5FE2"/>
    <w:rsid w:val="00CE2A51"/>
    <w:rsid w:val="00CE403B"/>
    <w:rsid w:val="00CE7C68"/>
    <w:rsid w:val="00D02B4C"/>
    <w:rsid w:val="00D040C4"/>
    <w:rsid w:val="00D14F68"/>
    <w:rsid w:val="00D57C84"/>
    <w:rsid w:val="00D6057D"/>
    <w:rsid w:val="00D707B8"/>
    <w:rsid w:val="00D7284D"/>
    <w:rsid w:val="00D84576"/>
    <w:rsid w:val="00DA1399"/>
    <w:rsid w:val="00DA1D2C"/>
    <w:rsid w:val="00DA24C6"/>
    <w:rsid w:val="00DA2A39"/>
    <w:rsid w:val="00DA49E9"/>
    <w:rsid w:val="00DA4D7B"/>
    <w:rsid w:val="00DA65A9"/>
    <w:rsid w:val="00DC13B0"/>
    <w:rsid w:val="00DC3628"/>
    <w:rsid w:val="00DE264A"/>
    <w:rsid w:val="00E02D18"/>
    <w:rsid w:val="00E041E7"/>
    <w:rsid w:val="00E23CA1"/>
    <w:rsid w:val="00E34781"/>
    <w:rsid w:val="00E409A8"/>
    <w:rsid w:val="00E50C12"/>
    <w:rsid w:val="00E65B91"/>
    <w:rsid w:val="00E7209D"/>
    <w:rsid w:val="00E77223"/>
    <w:rsid w:val="00E8528B"/>
    <w:rsid w:val="00E85B94"/>
    <w:rsid w:val="00E978D0"/>
    <w:rsid w:val="00EA4613"/>
    <w:rsid w:val="00EA7F91"/>
    <w:rsid w:val="00EB1523"/>
    <w:rsid w:val="00EC0E49"/>
    <w:rsid w:val="00EC6199"/>
    <w:rsid w:val="00ED301D"/>
    <w:rsid w:val="00EE0131"/>
    <w:rsid w:val="00EF2394"/>
    <w:rsid w:val="00F30C64"/>
    <w:rsid w:val="00F30FDF"/>
    <w:rsid w:val="00F32CDB"/>
    <w:rsid w:val="00F63A70"/>
    <w:rsid w:val="00FA21D0"/>
    <w:rsid w:val="00FA5F5F"/>
    <w:rsid w:val="00FB730C"/>
    <w:rsid w:val="00FC2695"/>
    <w:rsid w:val="00FC3E03"/>
    <w:rsid w:val="00FC3FC1"/>
    <w:rsid w:val="00FE480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109BFFAA-FFE4-4933-84D6-F4EB84DC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Kop1">
    <w:name w:val="heading 1"/>
    <w:basedOn w:val="CETHeading1"/>
    <w:next w:val="Standaard"/>
    <w:link w:val="Kop1Char"/>
    <w:uiPriority w:val="9"/>
    <w:rsid w:val="004F5E36"/>
    <w:pPr>
      <w:tabs>
        <w:tab w:val="clear" w:pos="360"/>
        <w:tab w:val="right" w:pos="7100"/>
      </w:tabs>
      <w:jc w:val="both"/>
      <w:outlineLvl w:val="0"/>
    </w:pPr>
    <w:rPr>
      <w:lang w:val="en-GB"/>
    </w:rPr>
  </w:style>
  <w:style w:type="paragraph" w:styleId="Kop2">
    <w:name w:val="heading 2"/>
    <w:basedOn w:val="Standaard"/>
    <w:next w:val="Standaard"/>
    <w:link w:val="Kop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Eenvoudigetabel1">
    <w:name w:val="Table Simple 1"/>
    <w:basedOn w:val="Standaardtabe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Verwijzingopmerking">
    <w:name w:val="annotation reference"/>
    <w:basedOn w:val="Standaardalinea-lettertype"/>
    <w:uiPriority w:val="99"/>
    <w:semiHidden/>
    <w:unhideWhenUsed/>
    <w:rsid w:val="004577FE"/>
    <w:rPr>
      <w:sz w:val="16"/>
      <w:szCs w:val="16"/>
    </w:rPr>
  </w:style>
  <w:style w:type="paragraph" w:styleId="Ballontekst">
    <w:name w:val="Balloon Text"/>
    <w:basedOn w:val="Standaard"/>
    <w:link w:val="BallontekstChar"/>
    <w:uiPriority w:val="99"/>
    <w:semiHidden/>
    <w:unhideWhenUsed/>
    <w:rsid w:val="000D34B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34BE"/>
    <w:rPr>
      <w:rFonts w:ascii="Tahoma" w:hAnsi="Tahoma" w:cs="Tahoma"/>
      <w:sz w:val="16"/>
      <w:szCs w:val="16"/>
    </w:rPr>
  </w:style>
  <w:style w:type="paragraph" w:styleId="Bibliografie">
    <w:name w:val="Bibliography"/>
    <w:basedOn w:val="CETReferencetext"/>
    <w:uiPriority w:val="37"/>
    <w:unhideWhenUsed/>
    <w:rsid w:val="00631B33"/>
    <w:pPr>
      <w:spacing w:line="240" w:lineRule="auto"/>
      <w:ind w:left="720" w:hanging="720"/>
    </w:pPr>
  </w:style>
  <w:style w:type="paragraph" w:styleId="Plattetekst2">
    <w:name w:val="Body Text 2"/>
    <w:basedOn w:val="Standaard"/>
    <w:link w:val="Plattetekst2Char"/>
    <w:uiPriority w:val="99"/>
    <w:semiHidden/>
    <w:unhideWhenUsed/>
    <w:rsid w:val="0003148D"/>
    <w:pPr>
      <w:spacing w:after="120" w:line="480" w:lineRule="auto"/>
    </w:pPr>
  </w:style>
  <w:style w:type="character" w:customStyle="1" w:styleId="Plattetekst2Char">
    <w:name w:val="Platte tekst 2 Char"/>
    <w:basedOn w:val="Standaardalinea-lettertype"/>
    <w:link w:val="Plattetekst2"/>
    <w:uiPriority w:val="99"/>
    <w:semiHidden/>
    <w:rsid w:val="0003148D"/>
  </w:style>
  <w:style w:type="paragraph" w:styleId="Plattetekst3">
    <w:name w:val="Body Text 3"/>
    <w:basedOn w:val="Standaard"/>
    <w:link w:val="Plattetekst3Char"/>
    <w:uiPriority w:val="99"/>
    <w:semiHidden/>
    <w:unhideWhenUsed/>
    <w:rsid w:val="0003148D"/>
    <w:pPr>
      <w:spacing w:after="120"/>
    </w:pPr>
    <w:rPr>
      <w:sz w:val="16"/>
      <w:szCs w:val="16"/>
    </w:rPr>
  </w:style>
  <w:style w:type="character" w:customStyle="1" w:styleId="Plattetekst3Char">
    <w:name w:val="Platte tekst 3 Char"/>
    <w:basedOn w:val="Standaardalinea-lettertype"/>
    <w:link w:val="Plattetekst3"/>
    <w:uiPriority w:val="99"/>
    <w:semiHidden/>
    <w:rsid w:val="0003148D"/>
    <w:rPr>
      <w:sz w:val="16"/>
      <w:szCs w:val="16"/>
    </w:rPr>
  </w:style>
  <w:style w:type="paragraph" w:styleId="Plattetekst">
    <w:name w:val="Body Text"/>
    <w:basedOn w:val="Standaard"/>
    <w:link w:val="PlattetekstChar"/>
    <w:uiPriority w:val="99"/>
    <w:semiHidden/>
    <w:unhideWhenUsed/>
    <w:rsid w:val="0003148D"/>
    <w:pPr>
      <w:spacing w:after="120"/>
    </w:pPr>
  </w:style>
  <w:style w:type="character" w:customStyle="1" w:styleId="PlattetekstChar">
    <w:name w:val="Platte tekst Char"/>
    <w:basedOn w:val="Standaardalinea-lettertype"/>
    <w:link w:val="Plattetekst"/>
    <w:uiPriority w:val="99"/>
    <w:semiHidden/>
    <w:rsid w:val="0003148D"/>
  </w:style>
  <w:style w:type="paragraph" w:styleId="Datum">
    <w:name w:val="Date"/>
    <w:basedOn w:val="Standaard"/>
    <w:next w:val="Standaard"/>
    <w:link w:val="DatumChar"/>
    <w:uiPriority w:val="99"/>
    <w:semiHidden/>
    <w:unhideWhenUsed/>
    <w:rsid w:val="0003148D"/>
  </w:style>
  <w:style w:type="character" w:customStyle="1" w:styleId="DatumChar">
    <w:name w:val="Datum Char"/>
    <w:basedOn w:val="Standaardalinea-lettertype"/>
    <w:link w:val="Datum"/>
    <w:uiPriority w:val="99"/>
    <w:semiHidden/>
    <w:rsid w:val="0003148D"/>
  </w:style>
  <w:style w:type="paragraph" w:styleId="Bijschrift">
    <w:name w:val="caption"/>
    <w:basedOn w:val="Standaard"/>
    <w:next w:val="Standaard"/>
    <w:uiPriority w:val="35"/>
    <w:semiHidden/>
    <w:unhideWhenUsed/>
    <w:qFormat/>
    <w:rsid w:val="0003148D"/>
    <w:pPr>
      <w:spacing w:line="240" w:lineRule="auto"/>
    </w:pPr>
    <w:rPr>
      <w:b/>
      <w:bCs/>
      <w:color w:val="4F81BD" w:themeColor="accent1"/>
      <w:szCs w:val="18"/>
    </w:rPr>
  </w:style>
  <w:style w:type="paragraph" w:styleId="Lijst">
    <w:name w:val="List"/>
    <w:basedOn w:val="Standaard"/>
    <w:uiPriority w:val="99"/>
    <w:semiHidden/>
    <w:unhideWhenUsed/>
    <w:rsid w:val="0003148D"/>
    <w:pPr>
      <w:ind w:left="283" w:hanging="283"/>
      <w:contextualSpacing/>
    </w:pPr>
  </w:style>
  <w:style w:type="paragraph" w:styleId="Lijst2">
    <w:name w:val="List 2"/>
    <w:basedOn w:val="Standaard"/>
    <w:uiPriority w:val="99"/>
    <w:semiHidden/>
    <w:unhideWhenUsed/>
    <w:rsid w:val="0003148D"/>
    <w:pPr>
      <w:ind w:left="566" w:hanging="283"/>
      <w:contextualSpacing/>
    </w:pPr>
  </w:style>
  <w:style w:type="paragraph" w:styleId="Lijst3">
    <w:name w:val="List 3"/>
    <w:basedOn w:val="Standaard"/>
    <w:uiPriority w:val="99"/>
    <w:semiHidden/>
    <w:unhideWhenUsed/>
    <w:rsid w:val="0003148D"/>
    <w:pPr>
      <w:ind w:left="849" w:hanging="283"/>
      <w:contextualSpacing/>
    </w:pPr>
  </w:style>
  <w:style w:type="paragraph" w:styleId="Lijst4">
    <w:name w:val="List 4"/>
    <w:basedOn w:val="Standaard"/>
    <w:uiPriority w:val="99"/>
    <w:semiHidden/>
    <w:unhideWhenUsed/>
    <w:rsid w:val="0003148D"/>
    <w:pPr>
      <w:ind w:left="1132" w:hanging="283"/>
      <w:contextualSpacing/>
    </w:pPr>
  </w:style>
  <w:style w:type="paragraph" w:styleId="Lijst5">
    <w:name w:val="List 5"/>
    <w:basedOn w:val="Standaard"/>
    <w:uiPriority w:val="99"/>
    <w:semiHidden/>
    <w:unhideWhenUsed/>
    <w:rsid w:val="0003148D"/>
    <w:pPr>
      <w:ind w:left="1415" w:hanging="283"/>
      <w:contextualSpacing/>
    </w:pPr>
  </w:style>
  <w:style w:type="paragraph" w:styleId="Lijstvoortzetting">
    <w:name w:val="List Continue"/>
    <w:basedOn w:val="Standaard"/>
    <w:uiPriority w:val="99"/>
    <w:semiHidden/>
    <w:unhideWhenUsed/>
    <w:rsid w:val="0003148D"/>
    <w:pPr>
      <w:spacing w:after="120"/>
      <w:ind w:left="283"/>
      <w:contextualSpacing/>
    </w:pPr>
  </w:style>
  <w:style w:type="paragraph" w:styleId="Lijstvoortzetting2">
    <w:name w:val="List Continue 2"/>
    <w:basedOn w:val="Standaard"/>
    <w:uiPriority w:val="99"/>
    <w:semiHidden/>
    <w:unhideWhenUsed/>
    <w:rsid w:val="0003148D"/>
    <w:pPr>
      <w:spacing w:after="120"/>
      <w:ind w:left="566"/>
      <w:contextualSpacing/>
    </w:pPr>
  </w:style>
  <w:style w:type="paragraph" w:styleId="Lijstvoortzetting3">
    <w:name w:val="List Continue 3"/>
    <w:basedOn w:val="Standaard"/>
    <w:uiPriority w:val="99"/>
    <w:semiHidden/>
    <w:unhideWhenUsed/>
    <w:rsid w:val="0003148D"/>
    <w:pPr>
      <w:spacing w:after="120"/>
      <w:ind w:left="849"/>
      <w:contextualSpacing/>
    </w:pPr>
  </w:style>
  <w:style w:type="paragraph" w:styleId="Lijstvoortzetting4">
    <w:name w:val="List Continue 4"/>
    <w:basedOn w:val="Standaard"/>
    <w:uiPriority w:val="99"/>
    <w:semiHidden/>
    <w:unhideWhenUsed/>
    <w:rsid w:val="0003148D"/>
    <w:pPr>
      <w:spacing w:after="120"/>
      <w:ind w:left="1132"/>
      <w:contextualSpacing/>
    </w:pPr>
  </w:style>
  <w:style w:type="paragraph" w:styleId="Lijstvoortzetting5">
    <w:name w:val="List Continue 5"/>
    <w:basedOn w:val="Standaard"/>
    <w:uiPriority w:val="99"/>
    <w:semiHidden/>
    <w:unhideWhenUsed/>
    <w:rsid w:val="0003148D"/>
    <w:pPr>
      <w:spacing w:after="120"/>
      <w:ind w:left="1415"/>
      <w:contextualSpacing/>
    </w:pPr>
  </w:style>
  <w:style w:type="paragraph" w:styleId="Handtekening">
    <w:name w:val="Signature"/>
    <w:basedOn w:val="Standaard"/>
    <w:link w:val="HandtekeningChar"/>
    <w:uiPriority w:val="99"/>
    <w:semiHidden/>
    <w:unhideWhenUsed/>
    <w:rsid w:val="0003148D"/>
    <w:pPr>
      <w:spacing w:line="240" w:lineRule="auto"/>
      <w:ind w:left="4252"/>
    </w:pPr>
  </w:style>
  <w:style w:type="character" w:customStyle="1" w:styleId="HandtekeningChar">
    <w:name w:val="Handtekening Char"/>
    <w:basedOn w:val="Standaardalinea-lettertype"/>
    <w:link w:val="Handtekening"/>
    <w:uiPriority w:val="99"/>
    <w:semiHidden/>
    <w:rsid w:val="0003148D"/>
  </w:style>
  <w:style w:type="paragraph" w:styleId="E-mailhandtekening">
    <w:name w:val="E-mail Signature"/>
    <w:basedOn w:val="Standaard"/>
    <w:link w:val="E-mailhandtekeningChar"/>
    <w:uiPriority w:val="99"/>
    <w:semiHidden/>
    <w:unhideWhenUsed/>
    <w:rsid w:val="0003148D"/>
    <w:pPr>
      <w:spacing w:line="240" w:lineRule="auto"/>
    </w:pPr>
  </w:style>
  <w:style w:type="character" w:customStyle="1" w:styleId="E-mailhandtekeningChar">
    <w:name w:val="E-mailhandtekening Char"/>
    <w:basedOn w:val="Standaardalinea-lettertype"/>
    <w:link w:val="E-mailhandtekening"/>
    <w:uiPriority w:val="99"/>
    <w:semiHidden/>
    <w:rsid w:val="0003148D"/>
  </w:style>
  <w:style w:type="paragraph" w:styleId="Aanhef">
    <w:name w:val="Salutation"/>
    <w:basedOn w:val="Standaard"/>
    <w:next w:val="Standaard"/>
    <w:link w:val="AanhefChar"/>
    <w:uiPriority w:val="99"/>
    <w:semiHidden/>
    <w:unhideWhenUsed/>
    <w:rsid w:val="0003148D"/>
  </w:style>
  <w:style w:type="character" w:customStyle="1" w:styleId="AanhefChar">
    <w:name w:val="Aanhef Char"/>
    <w:basedOn w:val="Standaardalinea-lettertype"/>
    <w:link w:val="Aanhef"/>
    <w:uiPriority w:val="99"/>
    <w:semiHidden/>
    <w:rsid w:val="0003148D"/>
  </w:style>
  <w:style w:type="paragraph" w:styleId="Afsluiting">
    <w:name w:val="Closing"/>
    <w:basedOn w:val="Standaard"/>
    <w:link w:val="AfsluitingChar"/>
    <w:uiPriority w:val="99"/>
    <w:semiHidden/>
    <w:unhideWhenUsed/>
    <w:rsid w:val="0003148D"/>
    <w:pPr>
      <w:spacing w:line="240" w:lineRule="auto"/>
      <w:ind w:left="4252"/>
    </w:pPr>
  </w:style>
  <w:style w:type="character" w:customStyle="1" w:styleId="AfsluitingChar">
    <w:name w:val="Afsluiting Char"/>
    <w:basedOn w:val="Standaardalinea-lettertype"/>
    <w:link w:val="Afsluiting"/>
    <w:uiPriority w:val="99"/>
    <w:semiHidden/>
    <w:rsid w:val="0003148D"/>
  </w:style>
  <w:style w:type="paragraph" w:styleId="Index1">
    <w:name w:val="index 1"/>
    <w:basedOn w:val="Standaard"/>
    <w:next w:val="Standaard"/>
    <w:autoRedefine/>
    <w:uiPriority w:val="99"/>
    <w:semiHidden/>
    <w:unhideWhenUsed/>
    <w:rsid w:val="0003148D"/>
    <w:pPr>
      <w:spacing w:line="240" w:lineRule="auto"/>
      <w:ind w:left="220" w:hanging="220"/>
    </w:pPr>
  </w:style>
  <w:style w:type="paragraph" w:styleId="Index2">
    <w:name w:val="index 2"/>
    <w:basedOn w:val="Standaard"/>
    <w:next w:val="Standaard"/>
    <w:autoRedefine/>
    <w:uiPriority w:val="99"/>
    <w:semiHidden/>
    <w:unhideWhenUsed/>
    <w:rsid w:val="0003148D"/>
    <w:pPr>
      <w:spacing w:line="240" w:lineRule="auto"/>
      <w:ind w:left="440" w:hanging="220"/>
    </w:pPr>
  </w:style>
  <w:style w:type="paragraph" w:styleId="Index3">
    <w:name w:val="index 3"/>
    <w:basedOn w:val="Standaard"/>
    <w:next w:val="Standaard"/>
    <w:autoRedefine/>
    <w:uiPriority w:val="99"/>
    <w:semiHidden/>
    <w:unhideWhenUsed/>
    <w:rsid w:val="0003148D"/>
    <w:pPr>
      <w:spacing w:line="240" w:lineRule="auto"/>
      <w:ind w:left="660" w:hanging="220"/>
    </w:pPr>
  </w:style>
  <w:style w:type="paragraph" w:styleId="Index4">
    <w:name w:val="index 4"/>
    <w:basedOn w:val="Standaard"/>
    <w:next w:val="Standaard"/>
    <w:autoRedefine/>
    <w:uiPriority w:val="99"/>
    <w:semiHidden/>
    <w:unhideWhenUsed/>
    <w:rsid w:val="0003148D"/>
    <w:pPr>
      <w:spacing w:line="240" w:lineRule="auto"/>
      <w:ind w:left="880" w:hanging="220"/>
    </w:pPr>
  </w:style>
  <w:style w:type="paragraph" w:styleId="Index5">
    <w:name w:val="index 5"/>
    <w:basedOn w:val="Standaard"/>
    <w:next w:val="Standaard"/>
    <w:autoRedefine/>
    <w:uiPriority w:val="99"/>
    <w:semiHidden/>
    <w:unhideWhenUsed/>
    <w:rsid w:val="0003148D"/>
    <w:pPr>
      <w:spacing w:line="240" w:lineRule="auto"/>
      <w:ind w:left="1100" w:hanging="220"/>
    </w:pPr>
  </w:style>
  <w:style w:type="paragraph" w:styleId="Index6">
    <w:name w:val="index 6"/>
    <w:basedOn w:val="Standaard"/>
    <w:next w:val="Standaard"/>
    <w:autoRedefine/>
    <w:uiPriority w:val="99"/>
    <w:semiHidden/>
    <w:unhideWhenUsed/>
    <w:rsid w:val="0003148D"/>
    <w:pPr>
      <w:spacing w:line="240" w:lineRule="auto"/>
      <w:ind w:left="1320" w:hanging="220"/>
    </w:pPr>
  </w:style>
  <w:style w:type="paragraph" w:styleId="Index7">
    <w:name w:val="index 7"/>
    <w:basedOn w:val="Standaard"/>
    <w:next w:val="Standaard"/>
    <w:autoRedefine/>
    <w:uiPriority w:val="99"/>
    <w:semiHidden/>
    <w:unhideWhenUsed/>
    <w:rsid w:val="0003148D"/>
    <w:pPr>
      <w:spacing w:line="240" w:lineRule="auto"/>
      <w:ind w:left="1540" w:hanging="220"/>
    </w:pPr>
  </w:style>
  <w:style w:type="paragraph" w:styleId="Index8">
    <w:name w:val="index 8"/>
    <w:basedOn w:val="Standaard"/>
    <w:next w:val="Standaard"/>
    <w:autoRedefine/>
    <w:uiPriority w:val="99"/>
    <w:semiHidden/>
    <w:unhideWhenUsed/>
    <w:rsid w:val="0003148D"/>
    <w:pPr>
      <w:spacing w:line="240" w:lineRule="auto"/>
      <w:ind w:left="1760" w:hanging="220"/>
    </w:pPr>
  </w:style>
  <w:style w:type="paragraph" w:styleId="Index9">
    <w:name w:val="index 9"/>
    <w:basedOn w:val="Standaard"/>
    <w:next w:val="Standaard"/>
    <w:autoRedefine/>
    <w:uiPriority w:val="99"/>
    <w:semiHidden/>
    <w:unhideWhenUsed/>
    <w:rsid w:val="0003148D"/>
    <w:pPr>
      <w:spacing w:line="240" w:lineRule="auto"/>
      <w:ind w:left="1980" w:hanging="220"/>
    </w:pPr>
  </w:style>
  <w:style w:type="paragraph" w:styleId="Lijstmetafbeeldingen">
    <w:name w:val="table of figures"/>
    <w:basedOn w:val="Standaard"/>
    <w:next w:val="Standaard"/>
    <w:uiPriority w:val="99"/>
    <w:semiHidden/>
    <w:unhideWhenUsed/>
    <w:rsid w:val="0003148D"/>
  </w:style>
  <w:style w:type="paragraph" w:styleId="Bronvermelding">
    <w:name w:val="table of authorities"/>
    <w:basedOn w:val="Standaard"/>
    <w:next w:val="Standaard"/>
    <w:uiPriority w:val="99"/>
    <w:semiHidden/>
    <w:unhideWhenUsed/>
    <w:rsid w:val="0003148D"/>
    <w:pPr>
      <w:ind w:left="220" w:hanging="220"/>
    </w:pPr>
  </w:style>
  <w:style w:type="paragraph" w:styleId="Adresenvelop">
    <w:name w:val="envelope address"/>
    <w:basedOn w:val="Standaard"/>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res">
    <w:name w:val="HTML Address"/>
    <w:basedOn w:val="Standaard"/>
    <w:link w:val="HTML-adresChar"/>
    <w:uiPriority w:val="99"/>
    <w:semiHidden/>
    <w:unhideWhenUsed/>
    <w:rsid w:val="0003148D"/>
    <w:pPr>
      <w:spacing w:line="240" w:lineRule="auto"/>
    </w:pPr>
    <w:rPr>
      <w:i/>
      <w:iCs/>
    </w:rPr>
  </w:style>
  <w:style w:type="character" w:customStyle="1" w:styleId="HTML-adresChar">
    <w:name w:val="HTML-adres Char"/>
    <w:basedOn w:val="Standaardalinea-lettertype"/>
    <w:link w:val="HTML-adres"/>
    <w:uiPriority w:val="99"/>
    <w:semiHidden/>
    <w:rsid w:val="0003148D"/>
    <w:rPr>
      <w:i/>
      <w:iCs/>
    </w:rPr>
  </w:style>
  <w:style w:type="paragraph" w:styleId="Afzender">
    <w:name w:val="envelope return"/>
    <w:basedOn w:val="Standaard"/>
    <w:uiPriority w:val="99"/>
    <w:semiHidden/>
    <w:unhideWhenUsed/>
    <w:rsid w:val="0003148D"/>
    <w:pPr>
      <w:spacing w:line="240" w:lineRule="auto"/>
    </w:pPr>
    <w:rPr>
      <w:rFonts w:asciiTheme="majorHAnsi" w:eastAsiaTheme="majorEastAsia" w:hAnsiTheme="majorHAnsi" w:cstheme="majorBidi"/>
    </w:rPr>
  </w:style>
  <w:style w:type="paragraph" w:styleId="Berichtkop">
    <w:name w:val="Message Header"/>
    <w:basedOn w:val="Standaard"/>
    <w:link w:val="Berichtkop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3148D"/>
    <w:rPr>
      <w:rFonts w:asciiTheme="majorHAnsi" w:eastAsiaTheme="majorEastAsia" w:hAnsiTheme="majorHAnsi" w:cstheme="majorBidi"/>
      <w:sz w:val="24"/>
      <w:szCs w:val="24"/>
      <w:shd w:val="pct20" w:color="auto" w:fill="auto"/>
    </w:rPr>
  </w:style>
  <w:style w:type="paragraph" w:styleId="Notitiekop">
    <w:name w:val="Note Heading"/>
    <w:basedOn w:val="Standaard"/>
    <w:next w:val="Standaard"/>
    <w:link w:val="NotitiekopChar"/>
    <w:uiPriority w:val="99"/>
    <w:semiHidden/>
    <w:unhideWhenUsed/>
    <w:rsid w:val="0003148D"/>
    <w:pPr>
      <w:spacing w:line="240" w:lineRule="auto"/>
    </w:pPr>
  </w:style>
  <w:style w:type="character" w:customStyle="1" w:styleId="NotitiekopChar">
    <w:name w:val="Notitiekop Char"/>
    <w:basedOn w:val="Standaardalinea-lettertype"/>
    <w:link w:val="Notitiekop"/>
    <w:uiPriority w:val="99"/>
    <w:semiHidden/>
    <w:rsid w:val="0003148D"/>
  </w:style>
  <w:style w:type="paragraph" w:styleId="Documentstructuur">
    <w:name w:val="Document Map"/>
    <w:basedOn w:val="Standaard"/>
    <w:link w:val="DocumentstructuurChar"/>
    <w:uiPriority w:val="99"/>
    <w:semiHidden/>
    <w:unhideWhenUsed/>
    <w:rsid w:val="0003148D"/>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03148D"/>
    <w:rPr>
      <w:rFonts w:ascii="Tahoma" w:hAnsi="Tahoma" w:cs="Tahoma"/>
      <w:sz w:val="16"/>
      <w:szCs w:val="16"/>
    </w:rPr>
  </w:style>
  <w:style w:type="paragraph" w:styleId="Normaalweb">
    <w:name w:val="Normal (Web)"/>
    <w:basedOn w:val="Standaard"/>
    <w:uiPriority w:val="99"/>
    <w:semiHidden/>
    <w:unhideWhenUsed/>
    <w:rsid w:val="0003148D"/>
    <w:rPr>
      <w:sz w:val="24"/>
      <w:szCs w:val="24"/>
    </w:rPr>
  </w:style>
  <w:style w:type="paragraph" w:styleId="Lijstnummering">
    <w:name w:val="List Number"/>
    <w:basedOn w:val="Standaard"/>
    <w:uiPriority w:val="99"/>
    <w:semiHidden/>
    <w:unhideWhenUsed/>
    <w:rsid w:val="0003148D"/>
    <w:pPr>
      <w:numPr>
        <w:numId w:val="2"/>
      </w:numPr>
      <w:contextualSpacing/>
    </w:pPr>
  </w:style>
  <w:style w:type="paragraph" w:styleId="Lijstnummering2">
    <w:name w:val="List Number 2"/>
    <w:basedOn w:val="Standaard"/>
    <w:uiPriority w:val="99"/>
    <w:semiHidden/>
    <w:unhideWhenUsed/>
    <w:rsid w:val="0003148D"/>
    <w:pPr>
      <w:numPr>
        <w:numId w:val="3"/>
      </w:numPr>
      <w:contextualSpacing/>
    </w:pPr>
  </w:style>
  <w:style w:type="paragraph" w:styleId="Lijstnummering3">
    <w:name w:val="List Number 3"/>
    <w:basedOn w:val="Standaard"/>
    <w:uiPriority w:val="99"/>
    <w:semiHidden/>
    <w:unhideWhenUsed/>
    <w:rsid w:val="0003148D"/>
    <w:pPr>
      <w:numPr>
        <w:numId w:val="4"/>
      </w:numPr>
      <w:contextualSpacing/>
    </w:pPr>
  </w:style>
  <w:style w:type="paragraph" w:styleId="Lijstnummering4">
    <w:name w:val="List Number 4"/>
    <w:basedOn w:val="Standaard"/>
    <w:uiPriority w:val="99"/>
    <w:semiHidden/>
    <w:unhideWhenUsed/>
    <w:rsid w:val="0003148D"/>
    <w:pPr>
      <w:numPr>
        <w:numId w:val="5"/>
      </w:numPr>
      <w:contextualSpacing/>
    </w:pPr>
  </w:style>
  <w:style w:type="paragraph" w:styleId="Lijstnummering5">
    <w:name w:val="List Number 5"/>
    <w:basedOn w:val="Standaard"/>
    <w:uiPriority w:val="99"/>
    <w:semiHidden/>
    <w:unhideWhenUsed/>
    <w:rsid w:val="0003148D"/>
    <w:pPr>
      <w:numPr>
        <w:numId w:val="6"/>
      </w:numPr>
      <w:contextualSpacing/>
    </w:pPr>
  </w:style>
  <w:style w:type="paragraph" w:styleId="HTML-voorafopgemaakt">
    <w:name w:val="HTML Preformatted"/>
    <w:basedOn w:val="Standaard"/>
    <w:link w:val="HTML-voorafopgemaaktChar"/>
    <w:uiPriority w:val="99"/>
    <w:semiHidden/>
    <w:unhideWhenUsed/>
    <w:rsid w:val="0003148D"/>
    <w:pPr>
      <w:spacing w:line="240" w:lineRule="auto"/>
    </w:pPr>
    <w:rPr>
      <w:rFonts w:ascii="Consolas" w:hAnsi="Consolas" w:cs="Consolas"/>
    </w:rPr>
  </w:style>
  <w:style w:type="character" w:customStyle="1" w:styleId="HTML-voorafopgemaaktChar">
    <w:name w:val="HTML - vooraf opgemaakt Char"/>
    <w:basedOn w:val="Standaardalinea-lettertype"/>
    <w:link w:val="HTML-voorafopgemaakt"/>
    <w:uiPriority w:val="99"/>
    <w:semiHidden/>
    <w:rsid w:val="0003148D"/>
    <w:rPr>
      <w:rFonts w:ascii="Consolas" w:hAnsi="Consolas" w:cs="Consolas"/>
      <w:sz w:val="20"/>
      <w:szCs w:val="20"/>
    </w:rPr>
  </w:style>
  <w:style w:type="paragraph" w:styleId="Platteteksteersteinspringing">
    <w:name w:val="Body Text First Indent"/>
    <w:basedOn w:val="Plattetekst"/>
    <w:link w:val="PlatteteksteersteinspringingChar"/>
    <w:uiPriority w:val="99"/>
    <w:semiHidden/>
    <w:unhideWhenUsed/>
    <w:rsid w:val="0003148D"/>
    <w:pPr>
      <w:spacing w:after="200"/>
      <w:ind w:firstLine="360"/>
    </w:pPr>
  </w:style>
  <w:style w:type="character" w:customStyle="1" w:styleId="PlatteteksteersteinspringingChar">
    <w:name w:val="Platte tekst eerste inspringing Char"/>
    <w:basedOn w:val="PlattetekstChar"/>
    <w:link w:val="Platteteksteersteinspringing"/>
    <w:uiPriority w:val="99"/>
    <w:semiHidden/>
    <w:rsid w:val="0003148D"/>
  </w:style>
  <w:style w:type="paragraph" w:styleId="Plattetekstinspringen">
    <w:name w:val="Body Text Indent"/>
    <w:basedOn w:val="Standaard"/>
    <w:link w:val="PlattetekstinspringenChar"/>
    <w:uiPriority w:val="99"/>
    <w:semiHidden/>
    <w:unhideWhenUsed/>
    <w:rsid w:val="0003148D"/>
    <w:pPr>
      <w:spacing w:after="120"/>
      <w:ind w:left="283"/>
    </w:pPr>
  </w:style>
  <w:style w:type="character" w:customStyle="1" w:styleId="PlattetekstinspringenChar">
    <w:name w:val="Platte tekst inspringen Char"/>
    <w:basedOn w:val="Standaardalinea-lettertype"/>
    <w:link w:val="Plattetekstinspringen"/>
    <w:uiPriority w:val="99"/>
    <w:semiHidden/>
    <w:rsid w:val="0003148D"/>
  </w:style>
  <w:style w:type="paragraph" w:styleId="Platteteksteersteinspringing2">
    <w:name w:val="Body Text First Indent 2"/>
    <w:basedOn w:val="Plattetekstinspringen"/>
    <w:link w:val="Platteteksteersteinspringing2Char"/>
    <w:uiPriority w:val="99"/>
    <w:semiHidden/>
    <w:unhideWhenUsed/>
    <w:rsid w:val="0003148D"/>
    <w:pPr>
      <w:spacing w:after="20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3148D"/>
  </w:style>
  <w:style w:type="paragraph" w:styleId="Lijstopsomteken">
    <w:name w:val="List Bullet"/>
    <w:basedOn w:val="Standaard"/>
    <w:uiPriority w:val="99"/>
    <w:semiHidden/>
    <w:unhideWhenUsed/>
    <w:rsid w:val="0003148D"/>
    <w:pPr>
      <w:numPr>
        <w:numId w:val="7"/>
      </w:numPr>
      <w:contextualSpacing/>
    </w:pPr>
  </w:style>
  <w:style w:type="paragraph" w:styleId="Lijstopsomteken2">
    <w:name w:val="List Bullet 2"/>
    <w:basedOn w:val="Standaard"/>
    <w:uiPriority w:val="99"/>
    <w:semiHidden/>
    <w:unhideWhenUsed/>
    <w:rsid w:val="0003148D"/>
    <w:pPr>
      <w:numPr>
        <w:numId w:val="8"/>
      </w:numPr>
      <w:contextualSpacing/>
    </w:pPr>
  </w:style>
  <w:style w:type="paragraph" w:styleId="Lijstopsomteken3">
    <w:name w:val="List Bullet 3"/>
    <w:basedOn w:val="Standaard"/>
    <w:uiPriority w:val="99"/>
    <w:semiHidden/>
    <w:unhideWhenUsed/>
    <w:rsid w:val="0003148D"/>
    <w:pPr>
      <w:numPr>
        <w:numId w:val="9"/>
      </w:numPr>
      <w:contextualSpacing/>
    </w:pPr>
  </w:style>
  <w:style w:type="paragraph" w:styleId="Lijstopsomteken4">
    <w:name w:val="List Bullet 4"/>
    <w:basedOn w:val="Standaard"/>
    <w:uiPriority w:val="99"/>
    <w:semiHidden/>
    <w:unhideWhenUsed/>
    <w:rsid w:val="0003148D"/>
    <w:pPr>
      <w:numPr>
        <w:numId w:val="10"/>
      </w:numPr>
      <w:contextualSpacing/>
    </w:pPr>
  </w:style>
  <w:style w:type="paragraph" w:styleId="Lijstopsomteken5">
    <w:name w:val="List Bullet 5"/>
    <w:basedOn w:val="Standaard"/>
    <w:uiPriority w:val="99"/>
    <w:semiHidden/>
    <w:unhideWhenUsed/>
    <w:rsid w:val="0003148D"/>
    <w:pPr>
      <w:numPr>
        <w:numId w:val="11"/>
      </w:numPr>
      <w:contextualSpacing/>
    </w:pPr>
  </w:style>
  <w:style w:type="paragraph" w:styleId="Plattetekstinspringen2">
    <w:name w:val="Body Text Indent 2"/>
    <w:basedOn w:val="Standaard"/>
    <w:link w:val="Plattetekstinspringen2Char"/>
    <w:uiPriority w:val="99"/>
    <w:semiHidden/>
    <w:unhideWhenUsed/>
    <w:rsid w:val="0003148D"/>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3148D"/>
  </w:style>
  <w:style w:type="paragraph" w:styleId="Plattetekstinspringen3">
    <w:name w:val="Body Text Indent 3"/>
    <w:basedOn w:val="Standaard"/>
    <w:link w:val="Plattetekstinspringen3Char"/>
    <w:uiPriority w:val="99"/>
    <w:semiHidden/>
    <w:unhideWhenUsed/>
    <w:rsid w:val="0003148D"/>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03148D"/>
    <w:rPr>
      <w:sz w:val="16"/>
      <w:szCs w:val="16"/>
    </w:rPr>
  </w:style>
  <w:style w:type="paragraph" w:styleId="Standaardinspringing">
    <w:name w:val="Normal Indent"/>
    <w:basedOn w:val="Standaard"/>
    <w:uiPriority w:val="99"/>
    <w:semiHidden/>
    <w:unhideWhenUsed/>
    <w:rsid w:val="0003148D"/>
    <w:pPr>
      <w:ind w:left="720"/>
    </w:pPr>
  </w:style>
  <w:style w:type="paragraph" w:styleId="Tekstopmerking">
    <w:name w:val="annotation text"/>
    <w:basedOn w:val="Standaard"/>
    <w:link w:val="TekstopmerkingChar"/>
    <w:uiPriority w:val="99"/>
    <w:unhideWhenUsed/>
    <w:rsid w:val="0003148D"/>
    <w:pPr>
      <w:spacing w:line="240" w:lineRule="auto"/>
    </w:pPr>
  </w:style>
  <w:style w:type="character" w:customStyle="1" w:styleId="TekstopmerkingChar">
    <w:name w:val="Tekst opmerking Char"/>
    <w:basedOn w:val="Standaardalinea-lettertype"/>
    <w:link w:val="Tekstopmerking"/>
    <w:uiPriority w:val="99"/>
    <w:rsid w:val="0003148D"/>
    <w:rPr>
      <w:sz w:val="20"/>
      <w:szCs w:val="20"/>
    </w:rPr>
  </w:style>
  <w:style w:type="paragraph" w:styleId="Onderwerpvanopmerking">
    <w:name w:val="annotation subject"/>
    <w:basedOn w:val="Tekstopmerking"/>
    <w:next w:val="Tekstopmerking"/>
    <w:link w:val="OnderwerpvanopmerkingChar"/>
    <w:uiPriority w:val="99"/>
    <w:semiHidden/>
    <w:unhideWhenUsed/>
    <w:rsid w:val="0003148D"/>
    <w:rPr>
      <w:b/>
      <w:bCs/>
    </w:rPr>
  </w:style>
  <w:style w:type="character" w:customStyle="1" w:styleId="OnderwerpvanopmerkingChar">
    <w:name w:val="Onderwerp van opmerking Char"/>
    <w:basedOn w:val="TekstopmerkingChar"/>
    <w:link w:val="Onderwerpvanopmerking"/>
    <w:uiPriority w:val="99"/>
    <w:semiHidden/>
    <w:rsid w:val="0003148D"/>
    <w:rPr>
      <w:b/>
      <w:bCs/>
      <w:sz w:val="20"/>
      <w:szCs w:val="20"/>
    </w:rPr>
  </w:style>
  <w:style w:type="paragraph" w:styleId="Inhopg1">
    <w:name w:val="toc 1"/>
    <w:basedOn w:val="Standaard"/>
    <w:next w:val="Standaard"/>
    <w:autoRedefine/>
    <w:uiPriority w:val="39"/>
    <w:semiHidden/>
    <w:unhideWhenUsed/>
    <w:rsid w:val="0003148D"/>
    <w:pPr>
      <w:spacing w:after="100"/>
    </w:pPr>
  </w:style>
  <w:style w:type="paragraph" w:styleId="Inhopg2">
    <w:name w:val="toc 2"/>
    <w:basedOn w:val="Standaard"/>
    <w:next w:val="Standaard"/>
    <w:autoRedefine/>
    <w:uiPriority w:val="39"/>
    <w:semiHidden/>
    <w:unhideWhenUsed/>
    <w:rsid w:val="0003148D"/>
    <w:pPr>
      <w:spacing w:after="100"/>
      <w:ind w:left="220"/>
    </w:pPr>
  </w:style>
  <w:style w:type="paragraph" w:styleId="Inhopg3">
    <w:name w:val="toc 3"/>
    <w:basedOn w:val="Standaard"/>
    <w:next w:val="Standaard"/>
    <w:autoRedefine/>
    <w:uiPriority w:val="39"/>
    <w:semiHidden/>
    <w:unhideWhenUsed/>
    <w:rsid w:val="0003148D"/>
    <w:pPr>
      <w:spacing w:after="100"/>
      <w:ind w:left="440"/>
    </w:pPr>
  </w:style>
  <w:style w:type="paragraph" w:styleId="Inhopg4">
    <w:name w:val="toc 4"/>
    <w:basedOn w:val="Standaard"/>
    <w:next w:val="Standaard"/>
    <w:autoRedefine/>
    <w:uiPriority w:val="39"/>
    <w:semiHidden/>
    <w:unhideWhenUsed/>
    <w:rsid w:val="0003148D"/>
    <w:pPr>
      <w:spacing w:after="100"/>
      <w:ind w:left="660"/>
    </w:pPr>
  </w:style>
  <w:style w:type="paragraph" w:styleId="Inhopg5">
    <w:name w:val="toc 5"/>
    <w:basedOn w:val="Standaard"/>
    <w:next w:val="Standaard"/>
    <w:autoRedefine/>
    <w:uiPriority w:val="39"/>
    <w:semiHidden/>
    <w:unhideWhenUsed/>
    <w:rsid w:val="0003148D"/>
    <w:pPr>
      <w:spacing w:after="100"/>
      <w:ind w:left="880"/>
    </w:pPr>
  </w:style>
  <w:style w:type="paragraph" w:styleId="Inhopg6">
    <w:name w:val="toc 6"/>
    <w:basedOn w:val="Standaard"/>
    <w:next w:val="Standaard"/>
    <w:autoRedefine/>
    <w:uiPriority w:val="39"/>
    <w:semiHidden/>
    <w:unhideWhenUsed/>
    <w:rsid w:val="0003148D"/>
    <w:pPr>
      <w:spacing w:after="100"/>
      <w:ind w:left="1100"/>
    </w:pPr>
  </w:style>
  <w:style w:type="paragraph" w:styleId="Inhopg7">
    <w:name w:val="toc 7"/>
    <w:basedOn w:val="Standaard"/>
    <w:next w:val="Standaard"/>
    <w:autoRedefine/>
    <w:uiPriority w:val="39"/>
    <w:semiHidden/>
    <w:unhideWhenUsed/>
    <w:rsid w:val="0003148D"/>
    <w:pPr>
      <w:spacing w:after="100"/>
      <w:ind w:left="1320"/>
    </w:pPr>
  </w:style>
  <w:style w:type="paragraph" w:styleId="Inhopg8">
    <w:name w:val="toc 8"/>
    <w:basedOn w:val="Standaard"/>
    <w:next w:val="Standaard"/>
    <w:autoRedefine/>
    <w:uiPriority w:val="39"/>
    <w:semiHidden/>
    <w:unhideWhenUsed/>
    <w:rsid w:val="0003148D"/>
    <w:pPr>
      <w:spacing w:after="100"/>
      <w:ind w:left="1540"/>
    </w:pPr>
  </w:style>
  <w:style w:type="paragraph" w:styleId="Inhopg9">
    <w:name w:val="toc 9"/>
    <w:basedOn w:val="Standaard"/>
    <w:next w:val="Standaard"/>
    <w:autoRedefine/>
    <w:uiPriority w:val="39"/>
    <w:semiHidden/>
    <w:unhideWhenUsed/>
    <w:rsid w:val="0003148D"/>
    <w:pPr>
      <w:spacing w:after="100"/>
      <w:ind w:left="1760"/>
    </w:pPr>
  </w:style>
  <w:style w:type="paragraph" w:styleId="Bloktekst">
    <w:name w:val="Block Text"/>
    <w:basedOn w:val="Standaard"/>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kst">
    <w:name w:val="macro"/>
    <w:link w:val="Macroteks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kstChar">
    <w:name w:val="Macrotekst Char"/>
    <w:basedOn w:val="Standaardalinea-lettertype"/>
    <w:link w:val="Macrotekst"/>
    <w:uiPriority w:val="99"/>
    <w:semiHidden/>
    <w:rsid w:val="0003148D"/>
    <w:rPr>
      <w:rFonts w:ascii="Consolas" w:hAnsi="Consolas" w:cs="Consolas"/>
      <w:sz w:val="20"/>
      <w:szCs w:val="20"/>
    </w:rPr>
  </w:style>
  <w:style w:type="paragraph" w:styleId="Tekstzonderopmaak">
    <w:name w:val="Plain Text"/>
    <w:basedOn w:val="Standaard"/>
    <w:link w:val="TekstzonderopmaakChar"/>
    <w:uiPriority w:val="99"/>
    <w:semiHidden/>
    <w:unhideWhenUsed/>
    <w:rsid w:val="0003148D"/>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03148D"/>
    <w:rPr>
      <w:rFonts w:ascii="Consolas" w:hAnsi="Consolas" w:cs="Consolas"/>
      <w:sz w:val="21"/>
      <w:szCs w:val="21"/>
    </w:rPr>
  </w:style>
  <w:style w:type="paragraph" w:styleId="Voetnoottekst">
    <w:name w:val="footnote text"/>
    <w:basedOn w:val="Standaard"/>
    <w:link w:val="VoetnoottekstChar"/>
    <w:uiPriority w:val="99"/>
    <w:semiHidden/>
    <w:unhideWhenUsed/>
    <w:rsid w:val="0003148D"/>
    <w:pPr>
      <w:spacing w:line="240" w:lineRule="auto"/>
    </w:pPr>
  </w:style>
  <w:style w:type="character" w:customStyle="1" w:styleId="VoetnoottekstChar">
    <w:name w:val="Voetnoottekst Char"/>
    <w:basedOn w:val="Standaardalinea-lettertype"/>
    <w:link w:val="Voetnoottekst"/>
    <w:uiPriority w:val="99"/>
    <w:semiHidden/>
    <w:rsid w:val="0003148D"/>
    <w:rPr>
      <w:sz w:val="20"/>
      <w:szCs w:val="20"/>
    </w:rPr>
  </w:style>
  <w:style w:type="paragraph" w:styleId="Eindnoottekst">
    <w:name w:val="endnote text"/>
    <w:basedOn w:val="Standaard"/>
    <w:link w:val="EindnoottekstChar"/>
    <w:uiPriority w:val="99"/>
    <w:semiHidden/>
    <w:unhideWhenUsed/>
    <w:rsid w:val="0003148D"/>
    <w:pPr>
      <w:spacing w:line="240" w:lineRule="auto"/>
    </w:pPr>
  </w:style>
  <w:style w:type="character" w:customStyle="1" w:styleId="EindnoottekstChar">
    <w:name w:val="Eindnoottekst Char"/>
    <w:basedOn w:val="Standaardalinea-lettertype"/>
    <w:link w:val="Eindnoottekst"/>
    <w:uiPriority w:val="99"/>
    <w:semiHidden/>
    <w:rsid w:val="0003148D"/>
    <w:rPr>
      <w:sz w:val="20"/>
      <w:szCs w:val="20"/>
    </w:rPr>
  </w:style>
  <w:style w:type="character" w:customStyle="1" w:styleId="Kop1Char">
    <w:name w:val="Kop 1 Char"/>
    <w:basedOn w:val="Standaardalinea-lettertype"/>
    <w:link w:val="Kop1"/>
    <w:uiPriority w:val="9"/>
    <w:rsid w:val="004F5E36"/>
    <w:rPr>
      <w:rFonts w:ascii="Arial" w:eastAsia="Times New Roman" w:hAnsi="Arial" w:cs="Times New Roman"/>
      <w:b/>
      <w:sz w:val="20"/>
      <w:szCs w:val="20"/>
      <w:lang w:val="en-GB"/>
    </w:rPr>
  </w:style>
  <w:style w:type="character" w:customStyle="1" w:styleId="Kop2Char">
    <w:name w:val="Kop 2 Char"/>
    <w:basedOn w:val="Standaardalinea-lettertype"/>
    <w:link w:val="Kop2"/>
    <w:uiPriority w:val="9"/>
    <w:semiHidden/>
    <w:rsid w:val="0003148D"/>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03148D"/>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03148D"/>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03148D"/>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03148D"/>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03148D"/>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kop">
    <w:name w:val="index heading"/>
    <w:basedOn w:val="Standaard"/>
    <w:next w:val="Index1"/>
    <w:uiPriority w:val="99"/>
    <w:semiHidden/>
    <w:unhideWhenUsed/>
    <w:rsid w:val="0003148D"/>
    <w:rPr>
      <w:rFonts w:asciiTheme="majorHAnsi" w:eastAsiaTheme="majorEastAsia" w:hAnsiTheme="majorHAnsi" w:cstheme="majorBidi"/>
      <w:b/>
      <w:bCs/>
    </w:rPr>
  </w:style>
  <w:style w:type="paragraph" w:styleId="Kopbronvermelding">
    <w:name w:val="toa heading"/>
    <w:basedOn w:val="Standaard"/>
    <w:next w:val="Standaard"/>
    <w:uiPriority w:val="99"/>
    <w:semiHidden/>
    <w:unhideWhenUsed/>
    <w:rsid w:val="0003148D"/>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Standaardalinea-lettertype"/>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Koptekst">
    <w:name w:val="header"/>
    <w:basedOn w:val="Standaard"/>
    <w:link w:val="KoptekstChar"/>
    <w:uiPriority w:val="99"/>
    <w:unhideWhenUsed/>
    <w:rsid w:val="005278B7"/>
    <w:pPr>
      <w:tabs>
        <w:tab w:val="clear" w:pos="7100"/>
        <w:tab w:val="center" w:pos="4819"/>
        <w:tab w:val="right" w:pos="9638"/>
      </w:tabs>
      <w:spacing w:line="240" w:lineRule="auto"/>
    </w:pPr>
  </w:style>
  <w:style w:type="character" w:customStyle="1" w:styleId="KoptekstChar">
    <w:name w:val="Koptekst Char"/>
    <w:basedOn w:val="Standaardalinea-lettertype"/>
    <w:link w:val="Koptekst"/>
    <w:uiPriority w:val="99"/>
    <w:rsid w:val="005278B7"/>
    <w:rPr>
      <w:rFonts w:ascii="Arial" w:eastAsia="Times New Roman" w:hAnsi="Arial" w:cs="Times New Roman"/>
      <w:sz w:val="18"/>
      <w:szCs w:val="20"/>
      <w:lang w:val="en-GB"/>
    </w:rPr>
  </w:style>
  <w:style w:type="paragraph" w:styleId="Voettekst">
    <w:name w:val="footer"/>
    <w:basedOn w:val="Standaard"/>
    <w:link w:val="VoettekstChar"/>
    <w:uiPriority w:val="99"/>
    <w:unhideWhenUsed/>
    <w:rsid w:val="005278B7"/>
    <w:pPr>
      <w:tabs>
        <w:tab w:val="clear" w:pos="7100"/>
        <w:tab w:val="center" w:pos="4819"/>
        <w:tab w:val="right" w:pos="9638"/>
      </w:tabs>
      <w:spacing w:line="240" w:lineRule="auto"/>
    </w:pPr>
  </w:style>
  <w:style w:type="character" w:customStyle="1" w:styleId="VoettekstChar">
    <w:name w:val="Voettekst Char"/>
    <w:basedOn w:val="Standaardalinea-lettertype"/>
    <w:link w:val="Voettekst"/>
    <w:uiPriority w:val="99"/>
    <w:rsid w:val="005278B7"/>
    <w:rPr>
      <w:rFonts w:ascii="Arial" w:eastAsia="Times New Roman" w:hAnsi="Arial" w:cs="Times New Roman"/>
      <w:sz w:val="18"/>
      <w:szCs w:val="20"/>
      <w:lang w:val="en-GB"/>
    </w:rPr>
  </w:style>
  <w:style w:type="table" w:styleId="Tabelraster">
    <w:name w:val="Table Grid"/>
    <w:basedOn w:val="Standaardtabe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04C62"/>
    <w:rPr>
      <w:color w:val="0000FF" w:themeColor="hyperlink"/>
      <w:u w:val="single"/>
    </w:rPr>
  </w:style>
  <w:style w:type="character" w:customStyle="1" w:styleId="eudoraheader">
    <w:name w:val="eudoraheader"/>
    <w:basedOn w:val="Standaardalinea-lettertype"/>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character" w:styleId="Onopgelostemelding">
    <w:name w:val="Unresolved Mention"/>
    <w:basedOn w:val="Standaardalinea-lettertype"/>
    <w:uiPriority w:val="99"/>
    <w:semiHidden/>
    <w:unhideWhenUsed/>
    <w:rsid w:val="0095650A"/>
    <w:rPr>
      <w:color w:val="605E5C"/>
      <w:shd w:val="clear" w:color="auto" w:fill="E1DFDD"/>
    </w:rPr>
  </w:style>
  <w:style w:type="paragraph" w:styleId="Revisie">
    <w:name w:val="Revision"/>
    <w:hidden/>
    <w:uiPriority w:val="99"/>
    <w:semiHidden/>
    <w:rsid w:val="00950171"/>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yperlink" Target="http://dx.doi.org/10.1016/j.ssci.2007.12.00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dx.doi.org/10.1016/j.jhazmat.2005.07.011"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dx.doi.org/10.1016/j.jlp.2015.1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repository.tudelft.nl/islandora/object/uuid%3A782fcd3e-0db4-42ee-965a-c180586759f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C0847-1E60-4284-858A-03B2263D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3164</Words>
  <Characters>17403</Characters>
  <Application>Microsoft Office Word</Application>
  <DocSecurity>0</DocSecurity>
  <Lines>145</Lines>
  <Paragraphs>41</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Paul Swuste</cp:lastModifiedBy>
  <cp:revision>2</cp:revision>
  <cp:lastPrinted>2015-05-12T18:31:00Z</cp:lastPrinted>
  <dcterms:created xsi:type="dcterms:W3CDTF">2022-02-15T21:17:00Z</dcterms:created>
  <dcterms:modified xsi:type="dcterms:W3CDTF">2022-02-15T21:17:00Z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